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sz w:val="84"/>
          <w:szCs w:val="84"/>
          <w:lang w:val="zh-CN"/>
        </w:rPr>
      </w:pPr>
    </w:p>
    <w:p>
      <w:pPr>
        <w:autoSpaceDE w:val="0"/>
        <w:autoSpaceDN w:val="0"/>
        <w:adjustRightInd w:val="0"/>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rPr>
          <w:rFonts w:ascii="宋体" w:hAnsi="宋体" w:cs="宋体"/>
          <w:b/>
          <w:bCs/>
          <w:sz w:val="36"/>
          <w:szCs w:val="36"/>
        </w:rPr>
      </w:pPr>
      <w:r>
        <w:rPr>
          <w:rFonts w:hint="eastAsia" w:ascii="宋体" w:hAnsi="宋体" w:cs="宋体"/>
          <w:b/>
          <w:bCs/>
          <w:sz w:val="36"/>
          <w:szCs w:val="36"/>
          <w:lang w:val="zh-CN"/>
        </w:rPr>
        <w:t>项目编号：</w:t>
      </w:r>
      <w:r>
        <w:rPr>
          <w:rFonts w:hint="eastAsia" w:ascii="宋体" w:hAnsi="宋体" w:cs="宋体"/>
          <w:b/>
          <w:bCs/>
          <w:sz w:val="36"/>
          <w:szCs w:val="36"/>
        </w:rPr>
        <w:t>YSHQ2024-ZB-0107</w:t>
      </w:r>
    </w:p>
    <w:p>
      <w:pPr>
        <w:spacing w:line="700" w:lineRule="exact"/>
        <w:ind w:left="1807" w:hanging="1807" w:hangingChars="500"/>
        <w:rPr>
          <w:rFonts w:ascii="宋体" w:hAnsi="宋体" w:cs="宋体"/>
          <w:b/>
          <w:bCs/>
          <w:sz w:val="36"/>
          <w:szCs w:val="36"/>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盐城师范学院2024年春学期食堂大宗食材</w:t>
      </w:r>
    </w:p>
    <w:p>
      <w:pPr>
        <w:spacing w:line="700" w:lineRule="exact"/>
        <w:ind w:firstLine="2891" w:firstLineChars="800"/>
        <w:rPr>
          <w:rFonts w:ascii="宋体" w:hAnsi="宋体" w:cs="宋体"/>
          <w:b/>
          <w:bCs/>
          <w:sz w:val="32"/>
          <w:szCs w:val="32"/>
        </w:rPr>
      </w:pPr>
      <w:r>
        <w:rPr>
          <w:rFonts w:hint="eastAsia" w:ascii="宋体" w:hAnsi="宋体" w:cs="宋体"/>
          <w:b/>
          <w:bCs/>
          <w:sz w:val="36"/>
          <w:szCs w:val="36"/>
        </w:rPr>
        <w:t>（冻禽产品）采购项目</w:t>
      </w: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jc w:val="center"/>
        <w:rPr>
          <w:rFonts w:hint="eastAsia" w:ascii="宋体" w:hAnsi="宋体" w:cs="黑体"/>
          <w:b/>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2"/>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19"/>
          <w:rFonts w:hint="eastAsia" w:ascii="宋体" w:hAnsi="宋体" w:cs="黑体"/>
          <w:b/>
          <w:sz w:val="30"/>
          <w:szCs w:val="30"/>
          <w:lang w:val="zh-CN"/>
        </w:rPr>
        <w:t>第一章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"_Toc155527168" </w:instrText>
      </w:r>
      <w:r>
        <w:fldChar w:fldCharType="separate"/>
      </w:r>
      <w:r>
        <w:rPr>
          <w:rStyle w:val="19"/>
          <w:rFonts w:hint="eastAsia" w:ascii="宋体" w:hAnsi="宋体" w:cs="黑体"/>
          <w:b/>
          <w:sz w:val="30"/>
          <w:szCs w:val="30"/>
          <w:lang w:val="zh-CN"/>
        </w:rPr>
        <w:t>第二章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"_Toc155527169" </w:instrText>
      </w:r>
      <w:r>
        <w:fldChar w:fldCharType="separate"/>
      </w:r>
      <w:r>
        <w:rPr>
          <w:rStyle w:val="19"/>
          <w:rFonts w:hint="eastAsia" w:ascii="宋体" w:hAnsi="宋体"/>
          <w:b/>
          <w:sz w:val="30"/>
          <w:szCs w:val="30"/>
        </w:rPr>
        <w:t>第三章</w:t>
      </w:r>
      <w:r>
        <w:rPr>
          <w:rStyle w:val="19"/>
          <w:rFonts w:ascii="宋体" w:hAnsi="宋体"/>
          <w:b/>
          <w:sz w:val="30"/>
          <w:szCs w:val="30"/>
        </w:rPr>
        <w:t xml:space="preserve">  </w:t>
      </w:r>
      <w:r>
        <w:rPr>
          <w:rStyle w:val="19"/>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"_Toc155527170" </w:instrText>
      </w:r>
      <w:r>
        <w:fldChar w:fldCharType="separate"/>
      </w:r>
      <w:r>
        <w:rPr>
          <w:rStyle w:val="19"/>
          <w:rFonts w:hint="eastAsia" w:ascii="宋体" w:hAnsi="宋体"/>
          <w:b/>
          <w:bCs/>
          <w:sz w:val="30"/>
          <w:szCs w:val="30"/>
        </w:rPr>
        <w:t>第四章</w:t>
      </w:r>
      <w:r>
        <w:rPr>
          <w:rStyle w:val="19"/>
          <w:rFonts w:ascii="宋体" w:hAnsi="宋体"/>
          <w:b/>
          <w:bCs/>
          <w:sz w:val="30"/>
          <w:szCs w:val="30"/>
        </w:rPr>
        <w:t xml:space="preserve">  </w:t>
      </w:r>
      <w:r>
        <w:rPr>
          <w:rStyle w:val="19"/>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"_Toc155527171" </w:instrText>
      </w:r>
      <w:r>
        <w:fldChar w:fldCharType="separate"/>
      </w:r>
      <w:r>
        <w:rPr>
          <w:rStyle w:val="19"/>
          <w:rFonts w:hint="eastAsia" w:ascii="宋体" w:hAnsi="宋体"/>
          <w:b/>
          <w:bCs/>
          <w:sz w:val="30"/>
          <w:szCs w:val="30"/>
        </w:rPr>
        <w:t>第五章</w:t>
      </w:r>
      <w:r>
        <w:rPr>
          <w:rStyle w:val="19"/>
          <w:rFonts w:ascii="宋体" w:hAnsi="宋体"/>
          <w:b/>
          <w:bCs/>
          <w:sz w:val="30"/>
          <w:szCs w:val="30"/>
        </w:rPr>
        <w:t xml:space="preserve">  </w:t>
      </w:r>
      <w:r>
        <w:rPr>
          <w:rStyle w:val="19"/>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25</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sz w:val="30"/>
          <w:szCs w:val="30"/>
        </w:rPr>
      </w:pPr>
      <w:r>
        <w:fldChar w:fldCharType="begin"/>
      </w:r>
      <w:r>
        <w:instrText xml:space="preserve"> HYPERLINK \l "_Toc155527172" </w:instrText>
      </w:r>
      <w:r>
        <w:fldChar w:fldCharType="separate"/>
      </w:r>
      <w:r>
        <w:rPr>
          <w:rStyle w:val="19"/>
          <w:rFonts w:hint="eastAsia" w:ascii="宋体" w:hAnsi="宋体" w:cs="黑体"/>
          <w:b/>
          <w:sz w:val="30"/>
          <w:szCs w:val="30"/>
          <w:lang w:val="zh-CN"/>
        </w:rPr>
        <w:t>第六章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28</w:t>
      </w:r>
      <w:r>
        <w:rPr>
          <w:rFonts w:ascii="宋体" w:hAnsi="宋体"/>
          <w:b/>
          <w:sz w:val="30"/>
          <w:szCs w:val="30"/>
        </w:rPr>
        <w:fldChar w:fldCharType="end"/>
      </w:r>
      <w:r>
        <w:rPr>
          <w:rFonts w:ascii="宋体" w:hAnsi="宋体"/>
          <w:b/>
          <w:sz w:val="30"/>
          <w:szCs w:val="30"/>
        </w:rPr>
        <w:fldChar w:fldCharType="end"/>
      </w:r>
    </w:p>
    <w:p>
      <w:pPr>
        <w:spacing w:line="800" w:lineRule="exact"/>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jc w:val="center"/>
        <w:rPr>
          <w:rFonts w:ascii="黑体" w:eastAsia="黑体" w:cs="黑体"/>
          <w:b/>
          <w:sz w:val="44"/>
          <w:szCs w:val="4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盐城师范学院2024年春学期食堂大宗食材（冻禽产品）采购项目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adjustRightInd w:val="0"/>
        <w:spacing w:line="70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 xml:space="preserve"> YSHQ2024-ZB-0107 ；</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盐城师范学院2024年春学期食堂大宗食材（冻禽产品）采购项目 </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3.合同履行期限：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4.本项目不接受联合体投标；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5.本项目不接受进口产品参与投标。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（1）提供法定代表人、授权代理人人员名单（身份证复印件附后）。</w:t>
      </w:r>
    </w:p>
    <w:p>
      <w:pPr>
        <w:spacing w:line="480" w:lineRule="exact"/>
        <w:ind w:firstLine="480" w:firstLineChars="200"/>
        <w:rPr>
          <w:rFonts w:ascii="宋体" w:hAnsi="宋体"/>
          <w:bCs/>
          <w:sz w:val="24"/>
          <w:szCs w:val="24"/>
        </w:rPr>
      </w:pPr>
      <w:r>
        <w:rPr>
          <w:rFonts w:hint="eastAsia" w:ascii="宋体" w:hAnsi="宋体"/>
          <w:bCs/>
          <w:sz w:val="24"/>
          <w:szCs w:val="24"/>
        </w:rPr>
        <w:t>若法定代表人参加投标的，须提供本人身份证复印件（原件备查）；若授权代表参加的，须提供《法人授权书》原件和授权代表身份证复印件（原件备查）。</w:t>
      </w:r>
    </w:p>
    <w:p>
      <w:pPr>
        <w:spacing w:line="480" w:lineRule="exact"/>
        <w:ind w:firstLine="480" w:firstLineChars="200"/>
        <w:rPr>
          <w:rFonts w:ascii="宋体" w:hAnsi="宋体"/>
          <w:bCs/>
          <w:sz w:val="24"/>
          <w:szCs w:val="24"/>
        </w:rPr>
      </w:pPr>
      <w:r>
        <w:rPr>
          <w:rFonts w:hint="eastAsia" w:ascii="宋体" w:hAnsi="宋体"/>
          <w:bCs/>
          <w:sz w:val="24"/>
          <w:szCs w:val="24"/>
        </w:rPr>
        <w:t>（2）提供与本项目经营范围相符合的食品经营许可证复印件。</w:t>
      </w:r>
    </w:p>
    <w:p>
      <w:pPr>
        <w:spacing w:line="480" w:lineRule="exact"/>
        <w:ind w:firstLine="480" w:firstLineChars="200"/>
        <w:rPr>
          <w:rFonts w:ascii="宋体" w:hAnsi="宋体"/>
          <w:bCs/>
          <w:sz w:val="24"/>
          <w:szCs w:val="24"/>
        </w:rPr>
      </w:pPr>
      <w:r>
        <w:rPr>
          <w:rFonts w:hint="eastAsia" w:ascii="宋体" w:hAnsi="宋体"/>
          <w:bCs/>
          <w:sz w:val="24"/>
          <w:szCs w:val="24"/>
        </w:rPr>
        <w:t>（3）未被“信用中国”网站（www.creditchina.gov.cn）列入失信被执行人、重大税收违法案件当事人名单、政府采购严重失信行为记录名单。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四、提交投标文件时间和地点、开标时间和地点</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；盐城师范学院新长校区后勤综合楼二楼会议室。</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2.开标时间和地点：</w:t>
      </w:r>
      <w:r>
        <w:rPr>
          <w:rFonts w:hint="eastAsia" w:ascii="宋体" w:hAnsi="宋体" w:cs="宋体"/>
          <w:kern w:val="0"/>
          <w:sz w:val="24"/>
          <w:szCs w:val="24"/>
          <w:u w:val="single"/>
        </w:rPr>
        <w:t>2024年1月30日上午9：00</w:t>
      </w:r>
      <w:r>
        <w:rPr>
          <w:rFonts w:hint="eastAsia" w:ascii="宋体" w:hAnsi="宋体" w:cs="宋体"/>
          <w:kern w:val="0"/>
          <w:sz w:val="24"/>
          <w:szCs w:val="24"/>
          <w:u w:val="single"/>
        </w:rPr>
        <w:t>；盐城师范学院新长校区后勤综合楼三楼招标会议室。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bookmarkStart w:id="41" w:name="_GoBack"/>
      <w:bookmarkEnd w:id="41"/>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35393627"/>
      <w:bookmarkStart w:id="2" w:name="_Toc35393796"/>
      <w:bookmarkStart w:id="3" w:name="_Toc28359008"/>
      <w:bookmarkStart w:id="4" w:name="_Toc28359085"/>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37"/>
          <w:rFonts w:ascii="宋体"/>
          <w:sz w:val="24"/>
        </w:rPr>
      </w:pPr>
      <w:r>
        <w:rPr>
          <w:rStyle w:val="37"/>
          <w:rFonts w:hint="eastAsia" w:ascii="宋体" w:hAnsi="宋体"/>
          <w:sz w:val="24"/>
        </w:rPr>
        <w:t xml:space="preserve">                                               </w:t>
      </w:r>
      <w:r>
        <w:rPr>
          <w:rStyle w:val="37"/>
          <w:rFonts w:ascii="宋体" w:hAnsi="宋体"/>
          <w:sz w:val="24"/>
        </w:rPr>
        <w:t>盐城师范学院</w:t>
      </w:r>
    </w:p>
    <w:p>
      <w:pPr>
        <w:spacing w:line="480" w:lineRule="exact"/>
        <w:ind w:firstLine="5520" w:firstLineChars="2300"/>
        <w:rPr>
          <w:rStyle w:val="37"/>
          <w:rFonts w:ascii="宋体" w:hAnsi="宋体"/>
          <w:sz w:val="24"/>
        </w:rPr>
      </w:pPr>
      <w:r>
        <w:rPr>
          <w:rStyle w:val="37"/>
          <w:rFonts w:hint="eastAsia" w:ascii="宋体" w:hAnsi="宋体"/>
          <w:sz w:val="24"/>
        </w:rPr>
        <w:t>2024年1月</w:t>
      </w:r>
      <w:r>
        <w:rPr>
          <w:rStyle w:val="37"/>
          <w:rFonts w:hint="eastAsia" w:ascii="宋体" w:hAnsi="宋体"/>
          <w:sz w:val="24"/>
          <w:lang w:val="en-US" w:eastAsia="zh-CN"/>
        </w:rPr>
        <w:t>9</w:t>
      </w:r>
      <w:r>
        <w:rPr>
          <w:rStyle w:val="37"/>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jc w:val="center"/>
        <w:outlineLvl w:val="0"/>
        <w:rPr>
          <w:rFonts w:ascii="宋体" w:hAnsi="宋体"/>
          <w:b/>
          <w:color w:val="000000"/>
          <w:sz w:val="44"/>
          <w:szCs w:val="44"/>
        </w:rPr>
      </w:pPr>
      <w:bookmarkStart w:id="29" w:name="_Toc47629327"/>
      <w:bookmarkStart w:id="30" w:name="_Toc47629959"/>
      <w:bookmarkStart w:id="31" w:name="_Toc155527169"/>
      <w:r>
        <w:rPr>
          <w:rFonts w:hint="eastAsia" w:ascii="宋体" w:hAnsi="宋体"/>
          <w:b/>
          <w:color w:val="000000"/>
          <w:sz w:val="44"/>
          <w:szCs w:val="44"/>
        </w:rPr>
        <w:t>第三章  合同条款及格式</w:t>
      </w:r>
      <w:bookmarkEnd w:id="29"/>
      <w:bookmarkEnd w:id="30"/>
      <w:bookmarkEnd w:id="31"/>
    </w:p>
    <w:p>
      <w:pPr>
        <w:spacing w:after="100" w:afterAutospacing="1" w:line="520" w:lineRule="exact"/>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甲乙双方根据盐城师范学院2024年春学期食堂大宗食材（冻禽产品）采购项目公开招标的结果，签署本合同。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一、货物名称：冻禽产品</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1.乙方应严格遵守《中华人民共和国食品安全法》及其他法律法规的有关规定，确保所供冻禽产品质量符合国家相关产品质量标准</w:t>
      </w:r>
      <w:r>
        <w:fldChar w:fldCharType="begin"/>
      </w:r>
      <w:r>
        <w:instrText xml:space="preserve"> HYPERLINK "http://down.foodmate.net/standard/sort/3/50399.html" \t "http://down.foodmate.net/standard/sort/3/_blank" </w:instrText>
      </w:r>
      <w:r>
        <w:fldChar w:fldCharType="separate"/>
      </w:r>
      <w:r>
        <w:rPr>
          <w:rFonts w:hint="eastAsia" w:ascii="宋体" w:hAnsi="宋体"/>
          <w:color w:val="000000"/>
          <w:sz w:val="24"/>
          <w:szCs w:val="24"/>
        </w:rPr>
        <w:t>GB 2707-2016</w:t>
      </w:r>
      <w:r>
        <w:rPr>
          <w:rFonts w:hint="eastAsia" w:ascii="宋体" w:hAnsi="宋体"/>
          <w:color w:val="000000"/>
          <w:sz w:val="24"/>
          <w:szCs w:val="24"/>
        </w:rPr>
        <w:fldChar w:fldCharType="end"/>
      </w:r>
      <w:r>
        <w:rPr>
          <w:rFonts w:hint="eastAsia" w:ascii="宋体" w:hAnsi="宋体" w:cs="宋体"/>
          <w:sz w:val="24"/>
          <w:szCs w:val="24"/>
        </w:rPr>
        <w:t>，符合国家各级强制性规范的要求。</w:t>
      </w:r>
    </w:p>
    <w:p>
      <w:pPr>
        <w:spacing w:line="480" w:lineRule="exact"/>
        <w:ind w:firstLine="480" w:firstLineChars="200"/>
        <w:rPr>
          <w:rFonts w:ascii="宋体" w:hAnsi="宋体" w:cs="宋体"/>
          <w:sz w:val="24"/>
          <w:szCs w:val="24"/>
        </w:rPr>
      </w:pPr>
      <w:r>
        <w:rPr>
          <w:rFonts w:hint="eastAsia" w:ascii="宋体" w:hAnsi="宋体" w:cs="宋体"/>
          <w:sz w:val="24"/>
          <w:szCs w:val="24"/>
        </w:rPr>
        <w:t>2.产品送达日剩余保质期天数须大于产品总保质期2/3的天数。</w:t>
      </w:r>
    </w:p>
    <w:p>
      <w:pPr>
        <w:spacing w:line="480" w:lineRule="exact"/>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sz w:val="24"/>
          <w:szCs w:val="24"/>
        </w:rPr>
        <w:t xml:space="preserve"> </w:t>
      </w:r>
      <w:r>
        <w:rPr>
          <w:rFonts w:hint="eastAsia" w:ascii="宋体" w:hAnsi="宋体" w:cs="宋体"/>
          <w:sz w:val="24"/>
          <w:szCs w:val="24"/>
        </w:rPr>
        <w:t>乙方必须按国家有关规定就所供原料向甲方提供以下索证资料：</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（1）相同批次产品的检验合格证或者化验单。</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（2）货物的《质量检验报告》，提供产品在半年内由国家质量检测机构出具的“质量检验报告”，自检报告无效。</w:t>
      </w:r>
    </w:p>
    <w:p>
      <w:pPr>
        <w:spacing w:line="480" w:lineRule="exact"/>
        <w:ind w:firstLine="480" w:firstLineChars="200"/>
        <w:rPr>
          <w:rFonts w:ascii="宋体" w:hAnsi="宋体" w:cs="宋体"/>
          <w:sz w:val="24"/>
          <w:szCs w:val="24"/>
        </w:rPr>
      </w:pPr>
      <w:r>
        <w:rPr>
          <w:rFonts w:hint="eastAsia" w:ascii="宋体" w:hAnsi="宋体" w:cs="宋体"/>
          <w:sz w:val="24"/>
          <w:szCs w:val="24"/>
        </w:rPr>
        <w:t>4.产品包装上必须提供品牌、生产商、产地、SC标识，包装上必须有明确的生产日期、保质期。</w:t>
      </w:r>
    </w:p>
    <w:p>
      <w:pPr>
        <w:spacing w:line="480" w:lineRule="exact"/>
        <w:ind w:firstLine="480" w:firstLineChars="200"/>
        <w:rPr>
          <w:rFonts w:ascii="宋体" w:hAnsi="宋体" w:cs="宋体"/>
          <w:b/>
          <w:color w:val="000000"/>
          <w:kern w:val="0"/>
          <w:sz w:val="24"/>
          <w:szCs w:val="24"/>
        </w:rPr>
      </w:pPr>
      <w:r>
        <w:rPr>
          <w:rFonts w:hint="eastAsia" w:ascii="宋体" w:hAnsi="宋体" w:cs="宋体"/>
          <w:sz w:val="24"/>
          <w:szCs w:val="24"/>
        </w:rPr>
        <w:t>四</w:t>
      </w:r>
      <w:r>
        <w:rPr>
          <w:rFonts w:hint="eastAsia" w:ascii="宋体" w:hAnsi="宋体" w:cs="宋体"/>
          <w:kern w:val="0"/>
          <w:sz w:val="24"/>
          <w:szCs w:val="24"/>
        </w:rPr>
        <w:t>、履约保证金：履约保证金共计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w:t>
      </w:r>
    </w:p>
    <w:p>
      <w:pPr>
        <w:spacing w:line="480" w:lineRule="exact"/>
        <w:ind w:firstLine="480" w:firstLineChars="200"/>
        <w:rPr>
          <w:rFonts w:ascii="宋体" w:hAnsi="宋体" w:cs="宋体"/>
          <w:sz w:val="24"/>
          <w:szCs w:val="24"/>
        </w:rPr>
      </w:pPr>
      <w:r>
        <w:rPr>
          <w:rFonts w:hint="eastAsia" w:ascii="宋体" w:hAnsi="宋体" w:cs="宋体"/>
          <w:sz w:val="24"/>
          <w:szCs w:val="24"/>
        </w:rPr>
        <w:t>（1）送货地点：乙方把指定货物送至甲方各食堂所在楼层，通榆校区食堂：南园一楼、北园一楼、北园二楼、北园三楼；新长校区食堂：沁园一楼、沁园二楼、沁园三楼、萃园一楼、萃园二楼、萃园三楼。</w:t>
      </w:r>
    </w:p>
    <w:p>
      <w:pPr>
        <w:spacing w:line="480" w:lineRule="exact"/>
        <w:ind w:firstLine="480" w:firstLineChars="200"/>
        <w:rPr>
          <w:rFonts w:ascii="宋体" w:hAnsi="宋体" w:cs="宋体"/>
          <w:sz w:val="24"/>
          <w:szCs w:val="24"/>
        </w:rPr>
      </w:pPr>
      <w:r>
        <w:rPr>
          <w:rFonts w:hint="eastAsia" w:ascii="宋体" w:hAnsi="宋体" w:cs="宋体"/>
          <w:sz w:val="24"/>
          <w:szCs w:val="24"/>
        </w:rPr>
        <w:t>（2）送货时间：定货次日早上7点之前。</w:t>
      </w:r>
    </w:p>
    <w:p>
      <w:pPr>
        <w:spacing w:line="480" w:lineRule="exact"/>
        <w:ind w:firstLine="480" w:firstLineChars="200"/>
        <w:rPr>
          <w:rFonts w:ascii="宋体" w:hAnsi="宋体" w:cs="宋体"/>
          <w:sz w:val="24"/>
          <w:szCs w:val="24"/>
        </w:rPr>
      </w:pPr>
      <w:r>
        <w:rPr>
          <w:rFonts w:hint="eastAsia" w:ascii="宋体" w:hAnsi="宋体" w:cs="宋体"/>
          <w:sz w:val="24"/>
          <w:szCs w:val="24"/>
        </w:rPr>
        <w:t>（3）分装要求：乙方按甲方采供系统平台开放的采购账号（数量在40个左右）出具的申请单进行货物分装。</w:t>
      </w:r>
    </w:p>
    <w:p>
      <w:pPr>
        <w:spacing w:line="480" w:lineRule="exact"/>
        <w:ind w:firstLine="480" w:firstLineChars="200"/>
        <w:rPr>
          <w:rFonts w:ascii="宋体" w:hAnsi="宋体" w:cs="宋体"/>
          <w:sz w:val="24"/>
          <w:szCs w:val="24"/>
        </w:rPr>
      </w:pPr>
      <w:r>
        <w:rPr>
          <w:rFonts w:hint="eastAsia" w:ascii="宋体" w:hAnsi="宋体" w:cs="宋体"/>
          <w:sz w:val="24"/>
          <w:szCs w:val="24"/>
        </w:rPr>
        <w:t>（4）货物配送费用由乙方自行承担。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（5）原包装产品交付时必须保证相关标识等各方面完好无损，否则甲方有权拒收。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（6）乙方运输工具进入学校，必须接受学校的统一管理，发生任何人员与设施损伤，均由乙方承担责任。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六、货物验收</w:t>
      </w:r>
    </w:p>
    <w:p>
      <w:pPr>
        <w:spacing w:line="480" w:lineRule="exact"/>
        <w:ind w:firstLine="480" w:firstLineChars="200"/>
        <w:rPr>
          <w:rFonts w:ascii="宋体" w:hAnsi="宋体" w:cs="宋体"/>
          <w:sz w:val="24"/>
          <w:szCs w:val="24"/>
        </w:rPr>
      </w:pPr>
      <w:r>
        <w:rPr>
          <w:rFonts w:hint="eastAsia" w:ascii="宋体" w:hAnsi="宋体" w:cs="宋体"/>
          <w:sz w:val="24"/>
          <w:szCs w:val="24"/>
        </w:rPr>
        <w:t>乙方每批次提供的货物需提供检验报告或其他证明，且必须经甲方采供中心、餐饮服务中心验收人员验收合格并签单后才能视为有效，否则均视为无效供货。</w:t>
      </w:r>
    </w:p>
    <w:p>
      <w:pPr>
        <w:spacing w:line="480" w:lineRule="exact"/>
        <w:ind w:firstLine="480" w:firstLineChars="200"/>
        <w:rPr>
          <w:rFonts w:ascii="宋体" w:hAnsi="宋体" w:cs="宋体"/>
          <w:sz w:val="24"/>
          <w:szCs w:val="24"/>
        </w:rPr>
      </w:pPr>
      <w:r>
        <w:rPr>
          <w:rFonts w:hint="eastAsia" w:ascii="宋体" w:hAnsi="宋体" w:cs="宋体"/>
          <w:sz w:val="24"/>
          <w:szCs w:val="24"/>
        </w:rPr>
        <w:t>七、供货品种及价格，</w:t>
      </w:r>
      <w:r>
        <w:rPr>
          <w:rFonts w:hint="eastAsia" w:cs="宋体"/>
          <w:color w:val="000000"/>
          <w:kern w:val="0"/>
          <w:sz w:val="24"/>
          <w:szCs w:val="24"/>
        </w:rPr>
        <w:t>以下价格供货期内不作调整。</w:t>
      </w:r>
    </w:p>
    <w:tbl>
      <w:tblPr>
        <w:tblStyle w:val="15"/>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473"/>
        <w:gridCol w:w="1819"/>
        <w:gridCol w:w="230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80" w:type="dxa"/>
            <w:vAlign w:val="center"/>
          </w:tcPr>
          <w:p>
            <w:pPr>
              <w:spacing w:line="360" w:lineRule="exac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序号</w:t>
            </w:r>
          </w:p>
        </w:tc>
        <w:tc>
          <w:tcPr>
            <w:tcW w:w="2473" w:type="dxa"/>
            <w:vAlign w:val="center"/>
          </w:tcPr>
          <w:p>
            <w:pPr>
              <w:spacing w:line="360" w:lineRule="exac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名称</w:t>
            </w:r>
          </w:p>
        </w:tc>
        <w:tc>
          <w:tcPr>
            <w:tcW w:w="1819" w:type="dxa"/>
            <w:vAlign w:val="center"/>
          </w:tcPr>
          <w:p>
            <w:pPr>
              <w:spacing w:line="360" w:lineRule="exac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品牌</w:t>
            </w:r>
          </w:p>
        </w:tc>
        <w:tc>
          <w:tcPr>
            <w:tcW w:w="2307" w:type="dxa"/>
            <w:vAlign w:val="center"/>
          </w:tcPr>
          <w:p>
            <w:pPr>
              <w:spacing w:line="360" w:lineRule="exac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规格</w:t>
            </w:r>
          </w:p>
        </w:tc>
        <w:tc>
          <w:tcPr>
            <w:tcW w:w="1644" w:type="dxa"/>
            <w:vAlign w:val="center"/>
          </w:tcPr>
          <w:p>
            <w:pPr>
              <w:spacing w:line="360" w:lineRule="exac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单价（元/斤）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手枪腿（大）5只</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琵琶腿（大）</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20斤/70个/箱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20斤/80个/箱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琵琶腿（小）</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20斤/90个/箱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5</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鸡脯</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鸡边腿</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17.2斤/箱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鸡翅根</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鸡架</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14斤/箱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9</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三黄鸡</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光鸭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11</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半边鸭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12</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鸭边腿</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19斤/箱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13</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鸭腿</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14</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鸭全翅</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去皮鸭脯</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16</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带皮鸭脯</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w:t>
            </w:r>
            <w:r>
              <w:rPr>
                <w:rFonts w:cs="宋体" w:asciiTheme="minorEastAsia" w:hAnsiTheme="minorEastAsia" w:eastAsiaTheme="minorEastAsia"/>
                <w:color w:val="000000"/>
                <w:szCs w:val="21"/>
              </w:rPr>
              <w:t>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17</w:t>
            </w:r>
          </w:p>
        </w:tc>
        <w:tc>
          <w:tcPr>
            <w:tcW w:w="2473"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鸭肝</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24斤/箱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18</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鸭肠</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鸭翅根</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鸭心</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24斤/箱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21</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鸡上腿肉（大）</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22</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带皮鸡胸肉块</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23</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清真琵琶腿（大）</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20斤/70个/箱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24</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清真琵琶腿（中）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20斤/80个/箱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25</w:t>
            </w:r>
          </w:p>
        </w:tc>
        <w:tc>
          <w:tcPr>
            <w:tcW w:w="2473" w:type="dxa"/>
            <w:vAlign w:val="center"/>
          </w:tcPr>
          <w:p>
            <w:pPr>
              <w:spacing w:line="36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清真琵琶腿（小）</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20斤/90个/箱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26</w:t>
            </w:r>
          </w:p>
        </w:tc>
        <w:tc>
          <w:tcPr>
            <w:tcW w:w="2473" w:type="dxa"/>
            <w:vAlign w:val="center"/>
          </w:tcPr>
          <w:p>
            <w:pPr>
              <w:spacing w:line="36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清真鸡脯</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27</w:t>
            </w:r>
          </w:p>
        </w:tc>
        <w:tc>
          <w:tcPr>
            <w:tcW w:w="2473" w:type="dxa"/>
            <w:vAlign w:val="center"/>
          </w:tcPr>
          <w:p>
            <w:pPr>
              <w:spacing w:line="36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清真鸡上腿</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28</w:t>
            </w:r>
          </w:p>
        </w:tc>
        <w:tc>
          <w:tcPr>
            <w:tcW w:w="2473" w:type="dxa"/>
            <w:vAlign w:val="center"/>
          </w:tcPr>
          <w:p>
            <w:pPr>
              <w:spacing w:line="36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清真三黄鸡</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29</w:t>
            </w:r>
          </w:p>
        </w:tc>
        <w:tc>
          <w:tcPr>
            <w:tcW w:w="2473" w:type="dxa"/>
            <w:vAlign w:val="center"/>
          </w:tcPr>
          <w:p>
            <w:pPr>
              <w:spacing w:line="36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清真光鸭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清真鸡翅根</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31</w:t>
            </w:r>
          </w:p>
        </w:tc>
        <w:tc>
          <w:tcPr>
            <w:tcW w:w="2473" w:type="dxa"/>
            <w:vAlign w:val="center"/>
          </w:tcPr>
          <w:p>
            <w:pPr>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清真鸡边腿</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17.2斤/箱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32</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清真半边鸭</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80"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33</w:t>
            </w:r>
          </w:p>
        </w:tc>
        <w:tc>
          <w:tcPr>
            <w:tcW w:w="2473" w:type="dxa"/>
            <w:vAlign w:val="center"/>
          </w:tcPr>
          <w:p>
            <w:pPr>
              <w:spacing w:line="36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清真带皮鸡胸肉块</w:t>
            </w:r>
          </w:p>
        </w:tc>
        <w:tc>
          <w:tcPr>
            <w:tcW w:w="1819" w:type="dxa"/>
            <w:vAlign w:val="center"/>
          </w:tcPr>
          <w:p>
            <w:pPr>
              <w:spacing w:line="360" w:lineRule="exact"/>
              <w:jc w:val="center"/>
              <w:textAlignment w:val="center"/>
              <w:rPr>
                <w:rFonts w:cs="宋体" w:asciiTheme="minorEastAsia" w:hAnsiTheme="minorEastAsia" w:eastAsiaTheme="minorEastAsia"/>
                <w:color w:val="000000"/>
                <w:szCs w:val="21"/>
              </w:rPr>
            </w:pPr>
          </w:p>
        </w:tc>
        <w:tc>
          <w:tcPr>
            <w:tcW w:w="2307" w:type="dxa"/>
            <w:vAlign w:val="center"/>
          </w:tcPr>
          <w:p>
            <w:pPr>
              <w:spacing w:line="36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644" w:type="dxa"/>
            <w:vAlign w:val="center"/>
          </w:tcPr>
          <w:p>
            <w:pPr>
              <w:spacing w:line="360" w:lineRule="exact"/>
              <w:jc w:val="center"/>
              <w:rPr>
                <w:rFonts w:cs="宋体" w:asciiTheme="minorEastAsia" w:hAnsiTheme="minorEastAsia" w:eastAsiaTheme="minorEastAsia"/>
                <w:color w:val="000000"/>
                <w:szCs w:val="21"/>
              </w:rPr>
            </w:pPr>
          </w:p>
        </w:tc>
      </w:tr>
    </w:tbl>
    <w:p>
      <w:pPr>
        <w:spacing w:line="480" w:lineRule="exact"/>
        <w:ind w:firstLine="480" w:firstLineChars="200"/>
        <w:rPr>
          <w:rFonts w:ascii="宋体" w:hAnsi="宋体" w:cs="宋体"/>
          <w:sz w:val="24"/>
          <w:szCs w:val="24"/>
        </w:rPr>
      </w:pPr>
      <w:r>
        <w:rPr>
          <w:rFonts w:hint="eastAsia" w:ascii="宋体" w:hAnsi="宋体" w:cs="宋体"/>
          <w:sz w:val="24"/>
          <w:szCs w:val="24"/>
        </w:rPr>
        <w:t>八、付款方式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九、违约责任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（7）含水量超过15%的。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2.乙方应严格按招标文件规定的质量标准进行供货。甲方将退回不达标货物,并扣收履约保证金200—2000元/次, 出现以上质量问题3次的，甲方有权单方面终止合同。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十、免除责任条款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由于国家政策的规定以及发生不可抗力原因造成甲、乙双方不能履行合同，双方均不承担违约责任（不可抗力的范围按照民法通则的解释）。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十一、争议解决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2.因履行合同引起争议，甲、乙双方应首先通过协商解决，如果协商不能解决争议，则采取以下方式解决争议：</w:t>
      </w:r>
    </w:p>
    <w:p>
      <w:pPr>
        <w:spacing w:line="480" w:lineRule="exact"/>
        <w:ind w:firstLine="480" w:firstLineChars="200"/>
        <w:rPr>
          <w:rFonts w:ascii="宋体" w:hAnsi="宋体" w:cs="宋体"/>
          <w:sz w:val="24"/>
          <w:szCs w:val="24"/>
        </w:rPr>
      </w:pPr>
      <w:r>
        <w:rPr>
          <w:rFonts w:hint="eastAsia" w:ascii="宋体" w:hAnsi="宋体" w:cs="宋体"/>
          <w:sz w:val="24"/>
          <w:szCs w:val="24"/>
        </w:rPr>
        <w:t>（1）向甲方所在地有管辖权的人民法院提起诉讼；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（2）向盐城市仲裁委员会申请仲裁。</w:t>
      </w:r>
    </w:p>
    <w:p>
      <w:pPr>
        <w:spacing w:line="480" w:lineRule="exact"/>
        <w:ind w:firstLine="480" w:firstLineChars="200"/>
        <w:rPr>
          <w:rFonts w:ascii="宋体" w:hAnsi="宋体" w:cs="宋体"/>
          <w:sz w:val="24"/>
          <w:szCs w:val="24"/>
        </w:rPr>
      </w:pPr>
      <w:r>
        <w:rPr>
          <w:rFonts w:hint="eastAsia" w:ascii="宋体" w:hAnsi="宋体" w:cs="宋体"/>
          <w:sz w:val="24"/>
          <w:szCs w:val="24"/>
        </w:rPr>
        <w:t>3.在仲裁或诉讼期间，甲方有权另行选择供应商。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十二、合同生效及其他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合同经甲方、乙方代表签字盖章，一式4份，甲、乙双方各2份。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440" w:lineRule="exact"/>
        <w:ind w:firstLine="480" w:firstLineChars="200"/>
        <w:rPr>
          <w:rFonts w:ascii="宋体" w:hAnsi="宋体"/>
          <w:bCs/>
          <w:sz w:val="24"/>
          <w:szCs w:val="24"/>
        </w:rPr>
      </w:pPr>
    </w:p>
    <w:p>
      <w:pPr>
        <w:pStyle w:val="2"/>
        <w:pageBreakBefore/>
        <w:spacing w:line="700" w:lineRule="exact"/>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jc w:val="center"/>
        <w:rPr>
          <w:rFonts w:ascii="宋体" w:hAnsi="宋体" w:cs="宋体"/>
          <w:b/>
          <w:sz w:val="32"/>
          <w:szCs w:val="32"/>
        </w:rPr>
      </w:pP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1、招标内容：冻禽产品；</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2、预计采购量：15吨。“预计采购量”仅作为投标参考量，不作为合同履约依据，如有政策性扶贫任务，采购量将依据要求减少，最终以招标人实际采购量为准。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二、技术参数</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冻禽制品：鸡鸭分割产品（鲜、冻禽产品国家标准</w:t>
      </w:r>
      <w:r>
        <w:fldChar w:fldCharType="begin"/>
      </w:r>
      <w:r>
        <w:instrText xml:space="preserve"> HYPERLINK "http://down.foodmate.net/standard/sort/3/50399.html" \t "http://down.foodmate.net/standard/sort/3/_blank" </w:instrText>
      </w:r>
      <w:r>
        <w:fldChar w:fldCharType="separate"/>
      </w:r>
      <w:r>
        <w:rPr>
          <w:rFonts w:hint="eastAsia" w:ascii="宋体" w:hAnsi="宋体" w:cs="宋体"/>
          <w:kern w:val="0"/>
          <w:sz w:val="24"/>
          <w:szCs w:val="24"/>
        </w:rPr>
        <w:t>GB 2707-2016</w:t>
      </w:r>
      <w:r>
        <w:rPr>
          <w:rFonts w:hint="eastAsia" w:ascii="宋体" w:hAnsi="宋体" w:cs="宋体"/>
          <w:kern w:val="0"/>
          <w:sz w:val="24"/>
          <w:szCs w:val="24"/>
        </w:rPr>
        <w:fldChar w:fldCharType="end"/>
      </w:r>
      <w:r>
        <w:rPr>
          <w:rFonts w:hint="eastAsia" w:ascii="宋体" w:hAnsi="宋体" w:cs="宋体"/>
          <w:kern w:val="0"/>
          <w:sz w:val="24"/>
          <w:szCs w:val="24"/>
        </w:rPr>
        <w:t>）。</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如国家标准发生变化按最新标准执行，执行顺序为国家标准、行业标准、地方标准、企业标准。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三、质量、验收标准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1、所供货物必须达到国家相应标准。实际供货时，质量要求要高于或等于文件要求。 </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2、投标人应按招标人计划要求，按本文件规定的品种、规格、质量提供成品食品原料。包装类食品产品送达日剩余保质期天数须大于产品总保质期2/3的天数、含水量不得超过15%，否则招标方有权拒绝收货。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3、乙方必须按国家有关规定就所供原料向甲方提供以下索证资料：</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 （1）相同批次产品的检验合格证或者化验单。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 （2）货物的《质量检验报告》，提供产品在半年内由国家质量检测机构出具的“质量检验报告”，自检报告无效。</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4、产品包装上必须提供品牌、生产商、产地、SC标识，包装上必须有明确的生产日期、保质期。</w:t>
      </w:r>
    </w:p>
    <w:p>
      <w:pPr>
        <w:spacing w:line="480" w:lineRule="exact"/>
        <w:ind w:firstLine="480" w:firstLineChars="200"/>
        <w:rPr>
          <w:rFonts w:ascii="宋体" w:hAnsi="宋体" w:cs="宋体"/>
          <w:b/>
          <w:sz w:val="24"/>
          <w:szCs w:val="24"/>
        </w:rPr>
      </w:pPr>
      <w:r>
        <w:rPr>
          <w:rFonts w:hint="eastAsia" w:ascii="宋体" w:hAnsi="宋体" w:cs="宋体"/>
          <w:sz w:val="24"/>
          <w:szCs w:val="24"/>
        </w:rPr>
        <w:t>5</w:t>
      </w:r>
      <w:r>
        <w:rPr>
          <w:rFonts w:hint="eastAsia" w:ascii="宋体" w:hAnsi="宋体" w:cs="宋体"/>
          <w:kern w:val="0"/>
          <w:sz w:val="24"/>
          <w:szCs w:val="24"/>
        </w:rPr>
        <w:t>、</w:t>
      </w:r>
      <w:r>
        <w:rPr>
          <w:rFonts w:hint="eastAsia" w:ascii="宋体" w:hAnsi="宋体" w:cs="宋体"/>
          <w:sz w:val="24"/>
          <w:szCs w:val="24"/>
        </w:rPr>
        <w:t>乙方每批次提供的货物需提供检验报告或其他证明，且必须经甲方采供中心、饮服中心验收人员验收合格并签单后才能视为有效，否则均视为无效供货。</w:t>
      </w:r>
    </w:p>
    <w:p>
      <w:pPr>
        <w:spacing w:after="100" w:afterAutospacing="1" w:line="480" w:lineRule="exact"/>
        <w:jc w:val="center"/>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中标人应严格按照招标人要求的供应计划按时按量进行供应，除不可抗力原因外，逾时缺量供应由中标人承担相关损失。不按计划的超量供应招标人有权拒收，造成损失由中标人自负。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2、中标人必须按照招标人要求或招标人委托单位的供应计划分次逐步供应。投标人应充分考虑供应的跨时性、分散性等因素进行报价。中标人以此为由要求提价或停止供货均视为严重违约行为。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w:t>
      </w:r>
      <w:r>
        <w:rPr>
          <w:rFonts w:hint="eastAsia" w:ascii="宋体" w:hAnsi="宋体" w:cs="宋体"/>
          <w:sz w:val="24"/>
          <w:szCs w:val="24"/>
        </w:rPr>
        <w:t>所在楼层，通榆校区食堂：南园一楼、北园一楼、北园二楼、北园三楼；新长校区食堂：沁园一楼、沁园二楼、沁园三楼、萃园一楼、萃园二楼、萃园三楼</w:t>
      </w:r>
      <w:r>
        <w:rPr>
          <w:rFonts w:hint="eastAsia" w:ascii="宋体" w:hAnsi="宋体" w:cs="宋体"/>
          <w:kern w:val="0"/>
          <w:sz w:val="24"/>
          <w:szCs w:val="24"/>
        </w:rPr>
        <w:t>。</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 1、盐城师范学院后勤保障集团采供中心凭供应商提供的有效税务发票和招标方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2、因供应商不能及时提供结算凭证，造成招标方不能及时核算的，供应商应承违约方责任，招标方不承担责任。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3、要求投标方资质、汇款账号、结算凭证（发票）三者统一，货款汇入中标方对公账户。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b/>
          <w:color w:val="FF0000"/>
          <w:sz w:val="24"/>
          <w:szCs w:val="24"/>
        </w:rPr>
      </w:pPr>
      <w:r>
        <w:rPr>
          <w:rFonts w:hint="eastAsia" w:ascii="宋体" w:hAnsi="宋体"/>
          <w:sz w:val="24"/>
          <w:szCs w:val="24"/>
        </w:rPr>
        <w:t>评标采用综合评分法，评标结果按评审后得分由高到低顺序排列。得分相同的，按投标报价由低到高顺序排列。得分且投标报价相同的由评标委员会抽签确定顺序。投标文件满足招标文件全部实质性要求，且按照评审因素的量化指标评审得分由高至低产生2名入围中标候选人。</w:t>
      </w:r>
      <w:r>
        <w:rPr>
          <w:rFonts w:hint="eastAsia" w:ascii="宋体" w:hAnsi="宋体"/>
          <w:b/>
          <w:sz w:val="24"/>
          <w:szCs w:val="24"/>
        </w:rPr>
        <w:t>招标人根据评标委员会提出的书面评标报告和推荐的中标侯选人依法确定2名中标人，并分别签订合同。学校各食堂档口根据需要自行选择中标人进行订货，按中标人的报价进行结算，学校不保证中标人的订货量。</w:t>
      </w:r>
    </w:p>
    <w:p>
      <w:pPr>
        <w:spacing w:line="480" w:lineRule="exact"/>
        <w:ind w:firstLine="480" w:firstLineChars="200"/>
        <w:rPr>
          <w:rFonts w:ascii="宋体" w:hAnsi="宋体"/>
          <w:sz w:val="24"/>
          <w:szCs w:val="24"/>
        </w:rPr>
      </w:pPr>
      <w:r>
        <w:rPr>
          <w:rFonts w:hint="eastAsia" w:ascii="宋体" w:hAnsi="宋体"/>
          <w:sz w:val="24"/>
          <w:szCs w:val="24"/>
        </w:rPr>
        <w:t>入围中标候选人放弃中标、因不可抗力不能履行合同，或者被查实存在影响中标结果的违法行为等情形，不符合中标条件的，招标人将取消入围，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14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（6</w:t>
            </w:r>
            <w:r>
              <w:rPr>
                <w:rFonts w:ascii="宋体" w:hAnsi="宋体" w:cs="宋体"/>
                <w:sz w:val="24"/>
                <w:szCs w:val="24"/>
              </w:rPr>
              <w:t>0</w:t>
            </w:r>
            <w:r>
              <w:rPr>
                <w:rFonts w:hint="eastAsia" w:ascii="宋体" w:hAnsi="宋体" w:cs="宋体"/>
                <w:sz w:val="24"/>
                <w:szCs w:val="24"/>
              </w:rPr>
              <w:t>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满足招标文件要求且综合投标报价（即所有产品小计价格的总和作为综合投标报价）最低的有效综合投标报价为评标基准价，其价格分为满分，其他投标人的价格分按下列公式计算：投标报价得分＝（评标基准价/综合投标报价）×60（四舍五入后保留小数点后两位）</w:t>
            </w:r>
          </w:p>
        </w:tc>
      </w:tr>
      <w:tr>
        <w:tblPrEx>
          <w:tblCellMar>
            <w:top w:w="0" w:type="dxa"/>
            <w:left w:w="108" w:type="dxa"/>
            <w:bottom w:w="0" w:type="dxa"/>
            <w:right w:w="108" w:type="dxa"/>
          </w:tblCellMar>
        </w:tblPrEx>
        <w:trPr>
          <w:trHeight w:val="142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w:t>
            </w:r>
            <w:r>
              <w:rPr>
                <w:rFonts w:ascii="宋体" w:hAnsi="宋体"/>
                <w:b/>
                <w:bCs/>
                <w:sz w:val="24"/>
                <w:szCs w:val="24"/>
              </w:rPr>
              <w:t>1</w:t>
            </w:r>
            <w:r>
              <w:rPr>
                <w:rFonts w:hint="eastAsia" w:ascii="宋体" w:hAnsi="宋体"/>
                <w:b/>
                <w:bCs/>
                <w:sz w:val="24"/>
                <w:szCs w:val="24"/>
              </w:rPr>
              <w:t>0分</w:t>
            </w:r>
            <w:r>
              <w:rPr>
                <w:rFonts w:hint="eastAsia" w:ascii="宋体" w:hAnsi="宋体"/>
                <w:sz w:val="24"/>
                <w:szCs w:val="24"/>
              </w:rPr>
              <w:t>，同一单位不同年度不重复计分。提供加盖投标人公章的合同复印件、服务单位盖章的意见反馈证明（格式自拟），缺一项不得分。</w:t>
            </w:r>
          </w:p>
        </w:tc>
      </w:tr>
      <w:tr>
        <w:tblPrEx>
          <w:tblCellMar>
            <w:top w:w="0" w:type="dxa"/>
            <w:left w:w="108" w:type="dxa"/>
            <w:bottom w:w="0" w:type="dxa"/>
            <w:right w:w="108" w:type="dxa"/>
          </w:tblCellMar>
        </w:tblPrEx>
        <w:trPr>
          <w:trHeight w:val="2252"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须有固定冷冻仓储仓库用于冻品储存，须提供冷冻仓储仓库与投标单位之间关系的产权证明复印件，或提供投标单位租赁冷冻仓储仓库合同复印件；提供冷冻仓储仓库全景及内景照片。照片和复印件加盖投标人公章。</w:t>
            </w:r>
          </w:p>
          <w:p>
            <w:pPr>
              <w:ind w:firstLine="480" w:firstLineChars="200"/>
              <w:rPr>
                <w:rFonts w:ascii="宋体" w:hAnsi="宋体" w:cs="楷体"/>
                <w:sz w:val="24"/>
                <w:szCs w:val="24"/>
              </w:rPr>
            </w:pPr>
            <w:r>
              <w:rPr>
                <w:rFonts w:hint="eastAsia" w:ascii="宋体" w:hAnsi="宋体" w:cs="宋体"/>
                <w:color w:val="000000"/>
                <w:kern w:val="0"/>
                <w:sz w:val="24"/>
                <w:szCs w:val="24"/>
                <w:shd w:val="clear" w:color="auto" w:fill="FFFFFF"/>
              </w:rPr>
              <w:t>冷冻仓储仓库500平方米（含）以上的得5分，200平方米（含）至500平方米的得2.5分，小于200平方米的不得分。未按以上要求提供相关材料或扫描不清晰导致无法识别的不计得分。</w:t>
            </w:r>
            <w:r>
              <w:rPr>
                <w:rFonts w:hint="eastAsia" w:ascii="宋体" w:hAnsi="宋体" w:cs="宋体"/>
                <w:b/>
                <w:bCs/>
                <w:color w:val="000000"/>
                <w:kern w:val="0"/>
                <w:sz w:val="24"/>
                <w:szCs w:val="24"/>
                <w:shd w:val="clear" w:color="auto" w:fill="FFFFFF"/>
              </w:rPr>
              <w:t>本项最多得5分。</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244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投标人有冻禽配送车辆，每有一辆得</w:t>
            </w:r>
            <w:r>
              <w:rPr>
                <w:rFonts w:ascii="宋体" w:hAnsi="宋体"/>
                <w:sz w:val="24"/>
                <w:szCs w:val="24"/>
              </w:rPr>
              <w:t>3</w:t>
            </w:r>
            <w:r>
              <w:rPr>
                <w:rFonts w:hint="eastAsia" w:ascii="宋体" w:hAnsi="宋体"/>
                <w:sz w:val="24"/>
                <w:szCs w:val="24"/>
              </w:rPr>
              <w:t>分，配有冷链运输车辆，有1辆加</w:t>
            </w:r>
            <w:r>
              <w:rPr>
                <w:rFonts w:ascii="宋体" w:hAnsi="宋体"/>
                <w:sz w:val="24"/>
                <w:szCs w:val="24"/>
              </w:rPr>
              <w:t>2</w:t>
            </w:r>
            <w:r>
              <w:rPr>
                <w:rFonts w:hint="eastAsia" w:ascii="宋体" w:hAnsi="宋体"/>
                <w:sz w:val="24"/>
                <w:szCs w:val="24"/>
              </w:rPr>
              <w:t>分。</w:t>
            </w:r>
            <w:r>
              <w:rPr>
                <w:rFonts w:hint="eastAsia" w:ascii="宋体" w:hAnsi="宋体"/>
                <w:b/>
                <w:bCs/>
                <w:sz w:val="24"/>
                <w:szCs w:val="24"/>
              </w:rPr>
              <w:t>本项最多得</w:t>
            </w:r>
            <w:r>
              <w:rPr>
                <w:rFonts w:ascii="宋体" w:hAnsi="宋体"/>
                <w:b/>
                <w:bCs/>
                <w:sz w:val="24"/>
                <w:szCs w:val="24"/>
              </w:rPr>
              <w:t>5</w:t>
            </w:r>
            <w:r>
              <w:rPr>
                <w:rFonts w:hint="eastAsia" w:ascii="宋体" w:hAnsi="宋体"/>
                <w:b/>
                <w:bCs/>
                <w:sz w:val="24"/>
                <w:szCs w:val="24"/>
              </w:rPr>
              <w:t>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cs="楷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68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9</w:t>
            </w:r>
            <w:r>
              <w:rPr>
                <w:rFonts w:hint="eastAsia" w:ascii="宋体" w:hAnsi="宋体"/>
                <w:sz w:val="24"/>
                <w:szCs w:val="24"/>
              </w:rPr>
              <w:t>分，满足以上两项要求得6分，满足一项得3分，其它情况不得分。格式自拟，加盖投标人公章。</w:t>
            </w:r>
          </w:p>
        </w:tc>
      </w:tr>
      <w:tr>
        <w:tblPrEx>
          <w:tblCellMar>
            <w:top w:w="0" w:type="dxa"/>
            <w:left w:w="108" w:type="dxa"/>
            <w:bottom w:w="0" w:type="dxa"/>
            <w:right w:w="108" w:type="dxa"/>
          </w:tblCellMar>
        </w:tblPrEx>
        <w:trPr>
          <w:trHeight w:val="3391"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二、项目重点难点分析</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投标人提供项目重点难点分析（包括食材采购、储存、分装和运输过程中保持新鲜；配送时间的把控等）的</w:t>
            </w:r>
            <w:r>
              <w:rPr>
                <w:rFonts w:ascii="宋体" w:hAnsi="宋体"/>
                <w:sz w:val="24"/>
                <w:szCs w:val="24"/>
              </w:rPr>
              <w:t>应对措施</w:t>
            </w:r>
            <w:r>
              <w:rPr>
                <w:rFonts w:hint="eastAsia" w:ascii="宋体" w:hAnsi="宋体"/>
                <w:sz w:val="24"/>
                <w:szCs w:val="24"/>
              </w:rPr>
              <w:t>、</w:t>
            </w:r>
            <w:r>
              <w:rPr>
                <w:rFonts w:ascii="宋体" w:hAnsi="宋体"/>
                <w:sz w:val="24"/>
                <w:szCs w:val="24"/>
              </w:rPr>
              <w:t>合理化建议</w:t>
            </w:r>
            <w:r>
              <w:rPr>
                <w:rFonts w:hint="eastAsia" w:ascii="宋体" w:hAnsi="宋体"/>
                <w:sz w:val="24"/>
                <w:szCs w:val="24"/>
              </w:rPr>
              <w:t>。</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（1）项目重点难点分析全面准确；</w:t>
            </w:r>
          </w:p>
          <w:p>
            <w:pPr>
              <w:ind w:firstLine="480" w:firstLineChars="200"/>
              <w:rPr>
                <w:rFonts w:ascii="宋体" w:hAnsi="宋体"/>
                <w:sz w:val="24"/>
                <w:szCs w:val="24"/>
              </w:rPr>
            </w:pPr>
            <w:r>
              <w:rPr>
                <w:rFonts w:hint="eastAsia" w:ascii="宋体" w:hAnsi="宋体"/>
                <w:sz w:val="24"/>
                <w:szCs w:val="24"/>
              </w:rPr>
              <w:t>（2）项目应对措施及合理化建议清晰；</w:t>
            </w:r>
          </w:p>
          <w:p>
            <w:pPr>
              <w:ind w:firstLine="480" w:firstLineChars="200"/>
              <w:rPr>
                <w:rFonts w:ascii="宋体" w:hAnsi="宋体"/>
                <w:sz w:val="24"/>
                <w:szCs w:val="24"/>
              </w:rPr>
            </w:pPr>
            <w:r>
              <w:rPr>
                <w:rFonts w:hint="eastAsia" w:ascii="宋体" w:hAnsi="宋体"/>
                <w:sz w:val="24"/>
                <w:szCs w:val="24"/>
              </w:rPr>
              <w:t>（3）项目应对措施及合理化建议可操作性强；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6</w:t>
            </w:r>
            <w:r>
              <w:rPr>
                <w:rFonts w:hint="eastAsia" w:ascii="宋体" w:hAnsi="宋体"/>
                <w:sz w:val="24"/>
                <w:szCs w:val="24"/>
              </w:rPr>
              <w:t>分，满足以上两项要求得4分，满足一项得分2分，其它情况不得分。格式自拟，加盖投标人公章。</w:t>
            </w:r>
          </w:p>
        </w:tc>
      </w:tr>
      <w:tr>
        <w:tblPrEx>
          <w:tblCellMar>
            <w:top w:w="0" w:type="dxa"/>
            <w:left w:w="108" w:type="dxa"/>
            <w:bottom w:w="0" w:type="dxa"/>
            <w:right w:w="108" w:type="dxa"/>
          </w:tblCellMar>
        </w:tblPrEx>
        <w:trPr>
          <w:trHeight w:val="2958"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w:t>
            </w:r>
            <w:r>
              <w:rPr>
                <w:rFonts w:ascii="宋体" w:hAnsi="宋体"/>
                <w:b/>
                <w:sz w:val="24"/>
                <w:szCs w:val="24"/>
              </w:rPr>
              <w:t>应急处理</w:t>
            </w:r>
            <w:r>
              <w:rPr>
                <w:rFonts w:hint="eastAsia" w:ascii="宋体" w:hAnsi="宋体"/>
                <w:b/>
                <w:sz w:val="24"/>
                <w:szCs w:val="24"/>
              </w:rPr>
              <w:t>工作</w:t>
            </w:r>
            <w:r>
              <w:rPr>
                <w:rFonts w:ascii="宋体" w:hAnsi="宋体"/>
                <w:b/>
                <w:sz w:val="24"/>
                <w:szCs w:val="24"/>
              </w:rPr>
              <w:t>方案</w:t>
            </w:r>
            <w:r>
              <w:rPr>
                <w:rFonts w:hint="eastAsia" w:ascii="宋体" w:hAnsi="宋体"/>
                <w:b/>
                <w:sz w:val="24"/>
                <w:szCs w:val="24"/>
              </w:rPr>
              <w:t>和预案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ascii="宋体" w:hAnsi="宋体"/>
                <w:sz w:val="24"/>
                <w:szCs w:val="24"/>
              </w:rPr>
              <w:t>投标人提供</w:t>
            </w:r>
            <w:r>
              <w:rPr>
                <w:rFonts w:hint="eastAsia" w:ascii="宋体" w:hAnsi="宋体"/>
                <w:sz w:val="24"/>
                <w:szCs w:val="24"/>
              </w:rPr>
              <w:t>完备</w:t>
            </w:r>
            <w:r>
              <w:rPr>
                <w:rFonts w:ascii="宋体" w:hAnsi="宋体"/>
                <w:sz w:val="24"/>
                <w:szCs w:val="24"/>
              </w:rPr>
              <w:t>的物流配送、食品安全等方面的应急处理</w:t>
            </w:r>
            <w:r>
              <w:rPr>
                <w:rFonts w:hint="eastAsia" w:ascii="宋体" w:hAnsi="宋体"/>
                <w:sz w:val="24"/>
                <w:szCs w:val="24"/>
              </w:rPr>
              <w:t>工作</w:t>
            </w:r>
            <w:r>
              <w:rPr>
                <w:rFonts w:ascii="宋体" w:hAnsi="宋体"/>
                <w:sz w:val="24"/>
                <w:szCs w:val="24"/>
              </w:rPr>
              <w:t>方案</w:t>
            </w:r>
            <w:r>
              <w:rPr>
                <w:rFonts w:hint="eastAsia" w:ascii="宋体" w:hAnsi="宋体"/>
                <w:sz w:val="24"/>
                <w:szCs w:val="24"/>
              </w:rPr>
              <w:t>、预案。</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w:t>
            </w:r>
            <w:r>
              <w:rPr>
                <w:rFonts w:ascii="宋体" w:hAnsi="宋体"/>
                <w:sz w:val="24"/>
                <w:szCs w:val="24"/>
              </w:rPr>
              <w:t>物流配送应急处理的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食品安全应急处理的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满足以上两项要求得</w:t>
            </w:r>
            <w:r>
              <w:rPr>
                <w:rFonts w:hint="eastAsia" w:ascii="宋体" w:hAnsi="宋体"/>
                <w:bCs/>
                <w:sz w:val="24"/>
                <w:szCs w:val="24"/>
              </w:rPr>
              <w:t>2</w:t>
            </w:r>
            <w:r>
              <w:rPr>
                <w:rFonts w:hint="eastAsia" w:ascii="宋体" w:hAnsi="宋体"/>
                <w:sz w:val="24"/>
                <w:szCs w:val="24"/>
              </w:rPr>
              <w:t>分，满足以上一项要求得1分，其它情况不得分。格式自拟，加盖投标人公章。</w:t>
            </w:r>
          </w:p>
        </w:tc>
      </w:tr>
    </w:tbl>
    <w:p>
      <w:r>
        <w:br w:type="page"/>
      </w:r>
    </w:p>
    <w:tbl>
      <w:tblPr>
        <w:tblStyle w:val="15"/>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736" w:type="dxa"/>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vAlign w:val="center"/>
          </w:tcPr>
          <w:p>
            <w:pPr>
              <w:ind w:firstLine="482" w:firstLineChars="200"/>
              <w:rPr>
                <w:rFonts w:ascii="宋体" w:hAnsi="宋体"/>
                <w:b/>
                <w:sz w:val="24"/>
                <w:szCs w:val="24"/>
              </w:rPr>
            </w:pPr>
            <w:r>
              <w:rPr>
                <w:rFonts w:hint="eastAsia" w:ascii="宋体" w:hAnsi="宋体"/>
                <w:b/>
                <w:sz w:val="24"/>
                <w:szCs w:val="24"/>
              </w:rPr>
              <w:t>四、违约承诺</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color w:val="FF0000"/>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color w:val="FF0000"/>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b/>
                <w:sz w:val="24"/>
                <w:szCs w:val="24"/>
              </w:rPr>
            </w:pPr>
            <w:r>
              <w:rPr>
                <w:rFonts w:hint="eastAsia" w:ascii="宋体" w:hAnsi="宋体"/>
                <w:sz w:val="24"/>
                <w:szCs w:val="24"/>
              </w:rPr>
              <w:t>满足以上三项要求得3分，满足以上两项要求得2分，满足一项得1分，其它情况不得分。格式自拟，加盖投标人公章。</w:t>
            </w:r>
          </w:p>
        </w:tc>
      </w:tr>
    </w:tbl>
    <w:p>
      <w:pPr>
        <w:spacing w:line="440" w:lineRule="exact"/>
        <w:rPr>
          <w:rFonts w:ascii="仿宋" w:hAnsi="仿宋" w:eastAsia="仿宋"/>
          <w:b/>
          <w:bCs/>
          <w:sz w:val="28"/>
          <w:szCs w:val="28"/>
        </w:rPr>
      </w:pPr>
    </w:p>
    <w:p>
      <w:pPr>
        <w:spacing w:line="400" w:lineRule="exact"/>
        <w:ind w:firstLine="480" w:firstLineChars="200"/>
        <w:jc w:val="left"/>
        <w:rPr>
          <w:rFonts w:cs="宋体"/>
          <w:kern w:val="0"/>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36"/>
          <w:szCs w:val="36"/>
          <w:lang w:val="zh-CN"/>
        </w:rPr>
      </w:pPr>
    </w:p>
    <w:p>
      <w:pPr>
        <w:autoSpaceDE w:val="0"/>
        <w:autoSpaceDN w:val="0"/>
        <w:adjustRightInd w:val="0"/>
        <w:jc w:val="center"/>
        <w:rPr>
          <w:rFonts w:ascii="宋体" w:cs="宋体"/>
          <w:b/>
          <w:bCs/>
          <w:sz w:val="36"/>
          <w:szCs w:val="36"/>
          <w:lang w:val="zh-CN"/>
        </w:rPr>
      </w:pPr>
    </w:p>
    <w:p>
      <w:pPr>
        <w:autoSpaceDE w:val="0"/>
        <w:autoSpaceDN w:val="0"/>
        <w:adjustRightInd w:val="0"/>
        <w:spacing w:line="600" w:lineRule="exact"/>
        <w:jc w:val="center"/>
        <w:rPr>
          <w:rFonts w:ascii="宋体" w:cs="宋体"/>
          <w:b/>
          <w:bCs/>
          <w:sz w:val="36"/>
          <w:szCs w:val="36"/>
          <w:lang w:val="zh-CN"/>
        </w:rPr>
      </w:pP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jc w:val="center"/>
        <w:rPr>
          <w:rFonts w:ascii="宋体" w:cs="宋体"/>
          <w:b/>
          <w:bCs/>
          <w:sz w:val="24"/>
          <w:szCs w:val="24"/>
          <w:lang w:val="zh-CN"/>
        </w:rPr>
      </w:pPr>
    </w:p>
    <w:p>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九、可行性实施方案、项目重点难点分析、应急处理工作方案</w:t>
      </w:r>
      <w:r>
        <w:rPr>
          <w:rFonts w:hint="eastAsia" w:ascii="宋体" w:cs="宋体"/>
          <w:sz w:val="24"/>
          <w:szCs w:val="24"/>
        </w:rPr>
        <w:t>和</w:t>
      </w:r>
      <w:r>
        <w:rPr>
          <w:rFonts w:hint="eastAsia" w:ascii="宋体" w:cs="宋体"/>
          <w:sz w:val="24"/>
          <w:szCs w:val="24"/>
          <w:lang w:val="zh-CN"/>
        </w:rPr>
        <w:t>预案、违约承诺</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309"/>
        <w:rPr>
          <w:rFonts w:ascii="宋体" w:cs="宋体"/>
          <w:sz w:val="24"/>
          <w:szCs w:val="24"/>
          <w:lang w:val="zh-CN"/>
        </w:rPr>
      </w:pPr>
    </w:p>
    <w:tbl>
      <w:tblPr>
        <w:tblStyle w:val="1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5245"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4"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1512"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4" w:type="dxa"/>
            <w:vAlign w:val="center"/>
          </w:tcPr>
          <w:p>
            <w:pPr>
              <w:ind w:firstLine="482" w:firstLineChars="200"/>
              <w:jc w:val="center"/>
              <w:rPr>
                <w:rFonts w:ascii="宋体" w:hAnsi="宋体"/>
                <w:b/>
                <w:sz w:val="24"/>
                <w:szCs w:val="21"/>
              </w:rPr>
            </w:pPr>
          </w:p>
        </w:tc>
        <w:tc>
          <w:tcPr>
            <w:tcW w:w="1512"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rPr>
                <w:rFonts w:ascii="宋体" w:hAnsi="宋体"/>
                <w:iCs/>
                <w:sz w:val="24"/>
                <w:szCs w:val="24"/>
              </w:rPr>
            </w:pPr>
            <w:r>
              <w:rPr>
                <w:rFonts w:hint="eastAsia" w:ascii="宋体" w:hAnsi="宋体"/>
                <w:bCs/>
                <w:sz w:val="24"/>
                <w:szCs w:val="24"/>
              </w:rPr>
              <w:t>法定代表人、授权代理人人员名单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rPr>
                <w:rFonts w:ascii="宋体" w:hAnsi="宋体"/>
                <w:iCs/>
                <w:sz w:val="24"/>
                <w:szCs w:val="24"/>
              </w:rPr>
            </w:pPr>
            <w:r>
              <w:rPr>
                <w:rFonts w:hint="eastAsia" w:ascii="宋体" w:hAnsi="宋体"/>
                <w:bCs/>
                <w:sz w:val="24"/>
                <w:szCs w:val="24"/>
              </w:rPr>
              <w:t>提供与本项目经营范围相符合的食品经营许可证复印件。</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rPr>
                <w:rFonts w:ascii="宋体" w:hAnsi="宋体"/>
                <w:iCs/>
                <w:sz w:val="24"/>
                <w:szCs w:val="24"/>
              </w:rPr>
            </w:pPr>
            <w:r>
              <w:rPr>
                <w:rFonts w:hint="eastAsia" w:ascii="宋体" w:hAnsi="宋体"/>
                <w:iCs/>
                <w:sz w:val="24"/>
                <w:szCs w:val="24"/>
              </w:rPr>
              <w:t>未被“信用中国”网站</w:t>
            </w:r>
          </w:p>
          <w:p>
            <w:pPr>
              <w:rPr>
                <w:rFonts w:ascii="宋体" w:hAnsi="宋体"/>
                <w:iCs/>
                <w:sz w:val="24"/>
                <w:szCs w:val="24"/>
              </w:rPr>
            </w:pPr>
            <w:r>
              <w:rPr>
                <w:rFonts w:hint="eastAsia" w:ascii="宋体" w:hAnsi="宋体"/>
                <w:iCs/>
                <w:sz w:val="24"/>
                <w:szCs w:val="24"/>
              </w:rPr>
              <w:t>（www.creditchina.gov.cn）列入失信被执行人、重大税收违法案件当事人名单、政府采购严重失信行为记录名单。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ind w:firstLine="480" w:firstLineChars="200"/>
              <w:jc w:val="cente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7" w:type="dxa"/>
            <w:vAlign w:val="center"/>
          </w:tcPr>
          <w:p>
            <w:pPr>
              <w:jc w:val="center"/>
              <w:rPr>
                <w:rFonts w:ascii="宋体" w:hAnsi="宋体"/>
                <w:sz w:val="24"/>
                <w:szCs w:val="21"/>
              </w:rPr>
            </w:pPr>
          </w:p>
        </w:tc>
        <w:tc>
          <w:tcPr>
            <w:tcW w:w="5245"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bl>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二、实质性要求和条件响应对照表（如有）</w:t>
      </w:r>
    </w:p>
    <w:p>
      <w:pPr>
        <w:autoSpaceDE w:val="0"/>
        <w:autoSpaceDN w:val="0"/>
        <w:adjustRightInd w:val="0"/>
        <w:ind w:firstLine="309"/>
        <w:rPr>
          <w:rFonts w:ascii="宋体" w:cs="宋体"/>
          <w:sz w:val="24"/>
          <w:szCs w:val="24"/>
          <w:lang w:val="zh-CN"/>
        </w:rPr>
      </w:pPr>
    </w:p>
    <w:tbl>
      <w:tblPr>
        <w:tblStyle w:val="1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98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3969" w:type="dxa"/>
            <w:vAlign w:val="center"/>
          </w:tcPr>
          <w:p>
            <w:pPr>
              <w:snapToGrid w:val="0"/>
              <w:jc w:val="center"/>
              <w:rPr>
                <w:rFonts w:ascii="宋体" w:hAnsi="宋体"/>
                <w:b/>
                <w:sz w:val="24"/>
                <w:szCs w:val="21"/>
              </w:rPr>
            </w:pPr>
            <w:r>
              <w:rPr>
                <w:rFonts w:hint="eastAsia" w:ascii="宋体" w:hAnsi="宋体"/>
                <w:b/>
                <w:sz w:val="24"/>
                <w:szCs w:val="21"/>
              </w:rPr>
              <w:t>招标文件中的实质性要求和条件</w:t>
            </w:r>
          </w:p>
        </w:tc>
        <w:tc>
          <w:tcPr>
            <w:tcW w:w="1985"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3969" w:type="dxa"/>
            <w:vAlign w:val="center"/>
          </w:tcPr>
          <w:p>
            <w:pPr>
              <w:snapToGrid w:val="0"/>
              <w:ind w:firstLine="480" w:firstLineChars="200"/>
              <w:jc w:val="center"/>
              <w:rPr>
                <w:rFonts w:ascii="宋体" w:hAnsi="宋体"/>
                <w:iCs/>
                <w:sz w:val="24"/>
                <w:szCs w:val="24"/>
              </w:rPr>
            </w:pPr>
          </w:p>
        </w:tc>
        <w:tc>
          <w:tcPr>
            <w:tcW w:w="1985" w:type="dxa"/>
            <w:vAlign w:val="center"/>
          </w:tcPr>
          <w:p>
            <w:pPr>
              <w:ind w:firstLine="482" w:firstLineChars="200"/>
              <w:jc w:val="center"/>
              <w:rPr>
                <w:rFonts w:ascii="宋体" w:hAnsi="宋体"/>
                <w:b/>
                <w:sz w:val="24"/>
                <w:szCs w:val="21"/>
              </w:rPr>
            </w:pPr>
          </w:p>
        </w:tc>
        <w:tc>
          <w:tcPr>
            <w:tcW w:w="2787"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3969"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jc w:val="center"/>
        <w:rPr>
          <w:rFonts w:ascii="黑体" w:hAnsi="黑体" w:eastAsia="黑体" w:cs="宋体"/>
          <w:b/>
          <w:bCs/>
          <w:sz w:val="32"/>
          <w:szCs w:val="32"/>
          <w:lang w:val="zh-CN"/>
        </w:rPr>
      </w:pPr>
    </w:p>
    <w:tbl>
      <w:tblPr>
        <w:tblStyle w:val="15"/>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文件4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Cs w:val="21"/>
          <w:lang w:val="zh-CN"/>
        </w:rPr>
      </w:pPr>
      <w:r>
        <w:rPr>
          <w:rFonts w:hint="eastAsia" w:ascii="宋体" w:hAnsi="宋体" w:cs="宋体"/>
          <w:sz w:val="24"/>
          <w:szCs w:val="24"/>
          <w:lang w:val="zh-CN"/>
        </w:rPr>
        <w:t>文件</w:t>
      </w:r>
      <w:r>
        <w:rPr>
          <w:rFonts w:hint="eastAsia" w:ascii="宋体" w:hAnsi="宋体" w:cs="仿宋_GB2312"/>
          <w:sz w:val="24"/>
          <w:szCs w:val="24"/>
          <w:lang w:val="zh-CN"/>
        </w:rPr>
        <w:t xml:space="preserve">6 </w:t>
      </w:r>
      <w:r>
        <w:rPr>
          <w:rFonts w:ascii="宋体" w:hAnsi="宋体" w:cs="宋体"/>
          <w:szCs w:val="21"/>
          <w:lang w:val="zh-CN"/>
        </w:rPr>
        <w:t xml:space="preserve"> </w:t>
      </w:r>
      <w:r>
        <w:rPr>
          <w:rFonts w:hint="eastAsia" w:ascii="宋体" w:hAnsi="宋体"/>
          <w:bCs/>
          <w:sz w:val="24"/>
          <w:szCs w:val="24"/>
        </w:rPr>
        <w:t>食品经营许可证复印件</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240"/>
        <w:jc w:val="left"/>
        <w:rPr>
          <w:rFonts w:ascii="宋体" w:cs="宋体"/>
          <w:sz w:val="24"/>
          <w:szCs w:val="24"/>
        </w:rPr>
      </w:pPr>
    </w:p>
    <w:p>
      <w:pPr>
        <w:pageBreakBefore/>
        <w:autoSpaceDE w:val="0"/>
        <w:autoSpaceDN w:val="0"/>
        <w:adjustRightInd w:val="0"/>
        <w:spacing w:line="440" w:lineRule="exact"/>
        <w:jc w:val="center"/>
        <w:rPr>
          <w:rFonts w:ascii="宋体" w:hAnsi="宋体" w:cs="黑体"/>
          <w:sz w:val="32"/>
          <w:szCs w:val="32"/>
          <w:lang w:val="zh-CN"/>
        </w:rPr>
      </w:pPr>
      <w:bookmarkStart w:id="35" w:name="_Toc147481989"/>
      <w:bookmarkStart w:id="36" w:name="_Toc14748221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jc w:val="center"/>
        <w:rPr>
          <w:rFonts w:ascii="宋体" w:hAnsi="宋体" w:cs="宋体"/>
          <w:b/>
          <w:bCs/>
          <w:sz w:val="32"/>
          <w:szCs w:val="32"/>
          <w:lang w:val="zh-CN"/>
        </w:rPr>
      </w:pPr>
      <w:bookmarkStart w:id="37" w:name="_Toc147482220"/>
      <w:bookmarkStart w:id="38" w:name="_Toc14748199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rPr>
          <w:rFonts w:ascii="宋体" w:cs="宋体"/>
          <w:b/>
          <w:bCs/>
          <w:sz w:val="44"/>
          <w:szCs w:val="44"/>
          <w:lang w:val="zh-CN"/>
        </w:rPr>
      </w:pPr>
    </w:p>
    <w:p>
      <w:pPr>
        <w:autoSpaceDE w:val="0"/>
        <w:autoSpaceDN w:val="0"/>
        <w:adjustRightInd w:val="0"/>
        <w:spacing w:after="100" w:afterAutospacing="1"/>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jc w:val="center"/>
        <w:rPr>
          <w:rFonts w:ascii="宋体" w:hAnsi="宋体" w:cs="宋体"/>
          <w:b/>
          <w:bCs/>
          <w:sz w:val="32"/>
          <w:szCs w:val="32"/>
          <w:lang w:val="zh-CN"/>
        </w:rPr>
      </w:pPr>
      <w:bookmarkStart w:id="39" w:name="_Toc147481991"/>
      <w:bookmarkStart w:id="40" w:name="_Toc14748222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rPr>
          <w:rFonts w:ascii="黑体" w:eastAsia="黑体" w:cs="黑体"/>
          <w:b/>
          <w:bCs/>
          <w:sz w:val="32"/>
          <w:szCs w:val="32"/>
          <w:lang w:val="zh-CN"/>
        </w:rPr>
      </w:pPr>
    </w:p>
    <w:p>
      <w:pPr>
        <w:tabs>
          <w:tab w:val="left" w:pos="953"/>
        </w:tabs>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jc w:val="center"/>
        <w:rPr>
          <w:rFonts w:ascii="黑体" w:eastAsia="黑体" w:cs="黑体"/>
          <w:sz w:val="32"/>
          <w:szCs w:val="32"/>
          <w:lang w:val="zh-CN"/>
        </w:rPr>
      </w:pPr>
    </w:p>
    <w:tbl>
      <w:tblPr>
        <w:tblStyle w:val="15"/>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r>
              <w:rPr>
                <w:rFonts w:hint="eastAsia" w:ascii="宋体" w:hAnsi="宋体"/>
                <w:sz w:val="24"/>
                <w:szCs w:val="24"/>
              </w:rPr>
              <w:t>综合投标报价</w:t>
            </w:r>
          </w:p>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（即所有产品小计价格的总和作为综合投标报价）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spacing w:line="420" w:lineRule="exact"/>
              <w:rPr>
                <w:rFonts w:ascii="宋体" w:hAnsi="Arial" w:cs="宋体"/>
                <w:sz w:val="24"/>
                <w:lang w:val="zh-CN"/>
              </w:rPr>
            </w:pPr>
          </w:p>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小写：</w:t>
            </w:r>
            <w:r>
              <w:rPr>
                <w:rFonts w:hint="eastAsia" w:ascii="宋体" w:hAnsi="Arial" w:cs="宋体"/>
                <w:sz w:val="24"/>
                <w:u w:val="single"/>
                <w:lang w:val="zh-CN"/>
              </w:rPr>
              <w:t xml:space="preserve"> ￥                </w:t>
            </w:r>
          </w:p>
          <w:p>
            <w:pPr>
              <w:autoSpaceDE w:val="0"/>
              <w:autoSpaceDN w:val="0"/>
              <w:adjustRightInd w:val="0"/>
              <w:spacing w:line="420" w:lineRule="exact"/>
              <w:rPr>
                <w:rFonts w:ascii="宋体" w:hAnsi="Arial" w:cs="宋体"/>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80"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hAnsi="Arial" w:cs="宋体"/>
                <w:bCs/>
                <w:sz w:val="24"/>
                <w:szCs w:val="24"/>
                <w:lang w:val="zh-CN"/>
              </w:rPr>
            </w:pPr>
            <w:r>
              <w:rPr>
                <w:rFonts w:hint="eastAsia" w:ascii="宋体" w:hAnsi="Arial" w:cs="宋体"/>
                <w:bCs/>
                <w:sz w:val="24"/>
                <w:szCs w:val="24"/>
                <w:lang w:val="zh-CN"/>
              </w:rPr>
              <w:t>核心产品品牌</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80" w:lineRule="exact"/>
        <w:jc w:val="left"/>
        <w:rPr>
          <w:rFonts w:ascii="宋体" w:hAnsi="宋体"/>
          <w:kern w:val="0"/>
          <w:sz w:val="24"/>
          <w:szCs w:val="24"/>
        </w:rPr>
      </w:pPr>
      <w:r>
        <w:rPr>
          <w:rFonts w:hint="eastAsia" w:ascii="宋体" w:hAnsi="宋体" w:cs="宋体"/>
          <w:bCs/>
          <w:kern w:val="0"/>
          <w:sz w:val="24"/>
          <w:szCs w:val="24"/>
        </w:rPr>
        <w:t>盐城师范学院：</w:t>
      </w:r>
    </w:p>
    <w:p>
      <w:pPr>
        <w:spacing w:line="480" w:lineRule="exact"/>
        <w:ind w:firstLine="480" w:firstLineChars="200"/>
        <w:jc w:val="left"/>
        <w:rPr>
          <w:rFonts w:ascii="宋体" w:hAnsi="宋体" w:cs="宋体"/>
          <w:sz w:val="24"/>
          <w:szCs w:val="24"/>
          <w:lang w:val="zh-CN"/>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tbl>
      <w:tblPr>
        <w:tblStyle w:val="15"/>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362"/>
        <w:gridCol w:w="1638"/>
        <w:gridCol w:w="1016"/>
        <w:gridCol w:w="1153"/>
        <w:gridCol w:w="899"/>
        <w:gridCol w:w="181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4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序号</w:t>
            </w:r>
          </w:p>
        </w:tc>
        <w:tc>
          <w:tcPr>
            <w:tcW w:w="1362"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名称</w:t>
            </w:r>
          </w:p>
        </w:tc>
        <w:tc>
          <w:tcPr>
            <w:tcW w:w="1638"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规格（箱）</w:t>
            </w:r>
          </w:p>
        </w:tc>
        <w:tc>
          <w:tcPr>
            <w:tcW w:w="1016"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预计采购量（斤）</w:t>
            </w:r>
          </w:p>
        </w:tc>
        <w:tc>
          <w:tcPr>
            <w:tcW w:w="1153"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最高限价（元/斤）</w:t>
            </w:r>
          </w:p>
        </w:tc>
        <w:tc>
          <w:tcPr>
            <w:tcW w:w="899"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指导</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品牌</w:t>
            </w:r>
          </w:p>
        </w:tc>
        <w:tc>
          <w:tcPr>
            <w:tcW w:w="181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单价（元/斤）</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（小数点后2位）</w:t>
            </w:r>
          </w:p>
        </w:tc>
        <w:tc>
          <w:tcPr>
            <w:tcW w:w="120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手枪腿（大）5只</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9.25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琵琶腿（大）</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20斤/70个/箱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6.20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琵琶腿（中）</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20斤/80个/箱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1000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琵琶腿（小）</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20斤/90个/箱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7.22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5</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鸡脯</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4000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6.00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鸡边腿</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17.2斤/箱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1500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5.81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鸡翅根</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6.68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鸡架</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14斤/箱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2.81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9</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三黄鸡</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19斤/箱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鲁西</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光鸭</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4.63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光大</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11</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半边鸭</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19斤/箱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4.67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12</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鸭边腿</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color w:val="000000"/>
                <w:szCs w:val="21"/>
              </w:rPr>
              <w:t>19斤/箱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2400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4.86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13</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鸭腿</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5.80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14</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鸭全翅</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60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5.07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去皮鸭脯</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6.37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16</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带皮鸭脯</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w:t>
            </w:r>
            <w:r>
              <w:rPr>
                <w:rFonts w:cs="宋体" w:asciiTheme="minorEastAsia" w:hAnsiTheme="minorEastAsia" w:eastAsiaTheme="minorEastAsia"/>
                <w:color w:val="000000"/>
                <w:szCs w:val="21"/>
              </w:rPr>
              <w:t>0斤/箱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5.38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17</w:t>
            </w:r>
          </w:p>
        </w:tc>
        <w:tc>
          <w:tcPr>
            <w:tcW w:w="1362"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鸭肝</w:t>
            </w:r>
          </w:p>
        </w:tc>
        <w:tc>
          <w:tcPr>
            <w:tcW w:w="1638"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24斤/箱</w:t>
            </w:r>
          </w:p>
        </w:tc>
        <w:tc>
          <w:tcPr>
            <w:tcW w:w="1016" w:type="dxa"/>
            <w:vAlign w:val="center"/>
          </w:tcPr>
          <w:p>
            <w:pPr>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1.86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18</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鸭肠</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鸭翅根</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3.98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鸭心</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24斤/箱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4.44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21</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鸡上腿肉（大）</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6000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6.55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22</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带皮鸡胸肉块</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6.52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23</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清真琵琶腿（大）</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20斤/70个/箱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6.20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24</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rPr>
              <w:t>清真琵琶腿（中）</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20斤/80个/箱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25</w:t>
            </w:r>
          </w:p>
        </w:tc>
        <w:tc>
          <w:tcPr>
            <w:tcW w:w="1362" w:type="dxa"/>
            <w:vAlign w:val="center"/>
          </w:tcPr>
          <w:p>
            <w:pPr>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清真琵琶腿（小）</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20斤/90个/箱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7.22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26</w:t>
            </w:r>
          </w:p>
        </w:tc>
        <w:tc>
          <w:tcPr>
            <w:tcW w:w="1362" w:type="dxa"/>
            <w:vAlign w:val="center"/>
          </w:tcPr>
          <w:p>
            <w:pPr>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清真鸡脯</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6.00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27</w:t>
            </w:r>
          </w:p>
        </w:tc>
        <w:tc>
          <w:tcPr>
            <w:tcW w:w="1362" w:type="dxa"/>
            <w:vAlign w:val="center"/>
          </w:tcPr>
          <w:p>
            <w:pPr>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清真鸡上腿</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6.55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28</w:t>
            </w:r>
          </w:p>
        </w:tc>
        <w:tc>
          <w:tcPr>
            <w:tcW w:w="1362" w:type="dxa"/>
            <w:vAlign w:val="center"/>
          </w:tcPr>
          <w:p>
            <w:pPr>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清真三黄鸡</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鲁西</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29</w:t>
            </w:r>
          </w:p>
        </w:tc>
        <w:tc>
          <w:tcPr>
            <w:tcW w:w="1362" w:type="dxa"/>
            <w:vAlign w:val="center"/>
          </w:tcPr>
          <w:p>
            <w:pPr>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清真光鸭</w:t>
            </w:r>
          </w:p>
        </w:tc>
        <w:tc>
          <w:tcPr>
            <w:tcW w:w="1638"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29斤/箱</w:t>
            </w:r>
          </w:p>
        </w:tc>
        <w:tc>
          <w:tcPr>
            <w:tcW w:w="1016"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3.45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光大</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清真鸡翅根</w:t>
            </w:r>
          </w:p>
        </w:tc>
        <w:tc>
          <w:tcPr>
            <w:tcW w:w="1638"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6.68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31</w:t>
            </w:r>
          </w:p>
        </w:tc>
        <w:tc>
          <w:tcPr>
            <w:tcW w:w="1362"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清真鸡边腿</w:t>
            </w:r>
          </w:p>
        </w:tc>
        <w:tc>
          <w:tcPr>
            <w:tcW w:w="1638"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17.2斤/箱</w:t>
            </w:r>
          </w:p>
        </w:tc>
        <w:tc>
          <w:tcPr>
            <w:tcW w:w="101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6.59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32</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清真半边鸭</w:t>
            </w:r>
          </w:p>
        </w:tc>
        <w:tc>
          <w:tcPr>
            <w:tcW w:w="1638"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19斤/箱</w:t>
            </w:r>
          </w:p>
        </w:tc>
        <w:tc>
          <w:tcPr>
            <w:tcW w:w="101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4.67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33</w:t>
            </w:r>
          </w:p>
        </w:tc>
        <w:tc>
          <w:tcPr>
            <w:tcW w:w="1362" w:type="dxa"/>
            <w:vAlign w:val="center"/>
          </w:tcPr>
          <w:p>
            <w:pPr>
              <w:spacing w:line="240" w:lineRule="exact"/>
              <w:jc w:val="center"/>
              <w:textAlignment w:val="center"/>
              <w:rPr>
                <w:rFonts w:cs="宋体" w:asciiTheme="minorEastAsia" w:hAnsiTheme="minorEastAsia" w:eastAsiaTheme="minorEastAsia"/>
                <w:bCs/>
                <w:szCs w:val="21"/>
              </w:rPr>
            </w:pPr>
            <w:r>
              <w:rPr>
                <w:rFonts w:hint="eastAsia" w:cs="宋体" w:asciiTheme="minorEastAsia" w:hAnsiTheme="minorEastAsia" w:eastAsiaTheme="minorEastAsia"/>
                <w:color w:val="000000"/>
                <w:kern w:val="0"/>
                <w:szCs w:val="21"/>
                <w:lang w:bidi="ar"/>
              </w:rPr>
              <w:t>清真带皮鸡胸肉块</w:t>
            </w:r>
          </w:p>
        </w:tc>
        <w:tc>
          <w:tcPr>
            <w:tcW w:w="1638"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20斤/箱</w:t>
            </w:r>
          </w:p>
        </w:tc>
        <w:tc>
          <w:tcPr>
            <w:tcW w:w="101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4800</w:t>
            </w:r>
          </w:p>
        </w:tc>
        <w:tc>
          <w:tcPr>
            <w:tcW w:w="1153"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6.52 </w:t>
            </w:r>
          </w:p>
        </w:tc>
        <w:tc>
          <w:tcPr>
            <w:tcW w:w="899" w:type="dxa"/>
            <w:vAlign w:val="center"/>
          </w:tcPr>
          <w:p>
            <w:pPr>
              <w:spacing w:line="2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六和</w:t>
            </w: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06" w:type="dxa"/>
            <w:gridSpan w:val="2"/>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合  计</w:t>
            </w:r>
          </w:p>
        </w:tc>
        <w:tc>
          <w:tcPr>
            <w:tcW w:w="1638" w:type="dxa"/>
            <w:vAlign w:val="center"/>
          </w:tcPr>
          <w:p>
            <w:pPr>
              <w:spacing w:line="240" w:lineRule="exact"/>
              <w:jc w:val="center"/>
              <w:rPr>
                <w:rFonts w:cs="宋体" w:asciiTheme="minorEastAsia" w:hAnsiTheme="minorEastAsia" w:eastAsiaTheme="minorEastAsia"/>
                <w:color w:val="000000"/>
                <w:szCs w:val="21"/>
              </w:rPr>
            </w:pPr>
          </w:p>
        </w:tc>
        <w:tc>
          <w:tcPr>
            <w:tcW w:w="1016" w:type="dxa"/>
            <w:vAlign w:val="center"/>
          </w:tcPr>
          <w:p>
            <w:pPr>
              <w:spacing w:line="240" w:lineRule="exact"/>
              <w:jc w:val="center"/>
              <w:rPr>
                <w:rFonts w:cs="宋体" w:asciiTheme="minorEastAsia" w:hAnsiTheme="minorEastAsia" w:eastAsiaTheme="minorEastAsia"/>
                <w:color w:val="000000"/>
                <w:szCs w:val="21"/>
              </w:rPr>
            </w:pPr>
          </w:p>
        </w:tc>
        <w:tc>
          <w:tcPr>
            <w:tcW w:w="1153" w:type="dxa"/>
            <w:vAlign w:val="center"/>
          </w:tcPr>
          <w:p>
            <w:pPr>
              <w:spacing w:line="240" w:lineRule="exact"/>
              <w:jc w:val="center"/>
              <w:rPr>
                <w:rFonts w:cs="宋体" w:asciiTheme="minorEastAsia" w:hAnsiTheme="minorEastAsia" w:eastAsiaTheme="minorEastAsia"/>
                <w:color w:val="000000"/>
                <w:szCs w:val="21"/>
              </w:rPr>
            </w:pPr>
          </w:p>
        </w:tc>
        <w:tc>
          <w:tcPr>
            <w:tcW w:w="899" w:type="dxa"/>
            <w:vAlign w:val="center"/>
          </w:tcPr>
          <w:p>
            <w:pPr>
              <w:spacing w:line="240" w:lineRule="exact"/>
              <w:jc w:val="center"/>
              <w:rPr>
                <w:rFonts w:cs="宋体" w:asciiTheme="minorEastAsia" w:hAnsiTheme="minorEastAsia" w:eastAsiaTheme="minorEastAsia"/>
                <w:color w:val="000000"/>
                <w:szCs w:val="21"/>
              </w:rPr>
            </w:pPr>
          </w:p>
        </w:tc>
        <w:tc>
          <w:tcPr>
            <w:tcW w:w="1814" w:type="dxa"/>
            <w:vAlign w:val="center"/>
          </w:tcPr>
          <w:p>
            <w:pPr>
              <w:spacing w:line="240" w:lineRule="exact"/>
              <w:jc w:val="center"/>
              <w:rPr>
                <w:rFonts w:cs="宋体" w:asciiTheme="minorEastAsia" w:hAnsiTheme="minorEastAsia" w:eastAsiaTheme="minorEastAsia"/>
                <w:color w:val="000000"/>
                <w:szCs w:val="21"/>
              </w:rPr>
            </w:pPr>
          </w:p>
        </w:tc>
        <w:tc>
          <w:tcPr>
            <w:tcW w:w="1204" w:type="dxa"/>
            <w:vAlign w:val="center"/>
          </w:tcPr>
          <w:p>
            <w:pPr>
              <w:spacing w:line="240" w:lineRule="exact"/>
              <w:jc w:val="center"/>
              <w:rPr>
                <w:rFonts w:cs="宋体" w:asciiTheme="minorEastAsia" w:hAnsiTheme="minorEastAsia" w:eastAsiaTheme="minorEastAsia"/>
                <w:szCs w:val="21"/>
              </w:rPr>
            </w:pPr>
          </w:p>
        </w:tc>
      </w:tr>
    </w:tbl>
    <w:p>
      <w:pPr>
        <w:autoSpaceDE w:val="0"/>
        <w:autoSpaceDN w:val="0"/>
        <w:adjustRightInd w:val="0"/>
        <w:spacing w:line="340" w:lineRule="exact"/>
        <w:ind w:firstLine="420" w:firstLineChars="200"/>
        <w:rPr>
          <w:rFonts w:ascii="宋体" w:hAnsi="宋体" w:cs="宋体"/>
          <w:color w:val="000000"/>
          <w:kern w:val="0"/>
          <w:szCs w:val="21"/>
        </w:rPr>
      </w:pPr>
      <w:r>
        <w:rPr>
          <w:rFonts w:hint="eastAsia" w:ascii="宋体" w:hAnsi="宋体" w:cs="宋体"/>
          <w:color w:val="000000"/>
          <w:kern w:val="0"/>
          <w:szCs w:val="21"/>
        </w:rPr>
        <w:t>注：1.</w:t>
      </w:r>
      <w:r>
        <w:rPr>
          <w:rFonts w:hint="eastAsia" w:ascii="宋体" w:hAnsi="宋体" w:cs="宋体"/>
          <w:b/>
          <w:color w:val="000000"/>
          <w:kern w:val="0"/>
          <w:szCs w:val="21"/>
        </w:rPr>
        <w:t>投标人必须使用表中指导品牌按斤进行报价，所有品种</w:t>
      </w:r>
      <w:r>
        <w:rPr>
          <w:rFonts w:hint="eastAsia" w:ascii="宋体" w:hAnsi="宋体" w:cs="宋体"/>
          <w:b/>
          <w:kern w:val="0"/>
          <w:szCs w:val="21"/>
        </w:rPr>
        <w:t>必须全部报价，</w:t>
      </w:r>
      <w:r>
        <w:rPr>
          <w:rFonts w:hint="eastAsia" w:ascii="宋体" w:hAnsi="宋体" w:cs="宋体"/>
          <w:b/>
          <w:color w:val="000000"/>
          <w:kern w:val="0"/>
          <w:szCs w:val="21"/>
        </w:rPr>
        <w:t>否则为无效标书。</w:t>
      </w:r>
    </w:p>
    <w:p>
      <w:pPr>
        <w:autoSpaceDE w:val="0"/>
        <w:autoSpaceDN w:val="0"/>
        <w:adjustRightInd w:val="0"/>
        <w:spacing w:line="340" w:lineRule="exact"/>
        <w:ind w:firstLine="420" w:firstLineChars="200"/>
        <w:rPr>
          <w:rFonts w:ascii="宋体" w:hAnsi="Arial" w:cs="宋体"/>
          <w:szCs w:val="21"/>
        </w:rPr>
      </w:pPr>
      <w:r>
        <w:rPr>
          <w:rFonts w:hint="eastAsia" w:ascii="宋体" w:hAnsi="Arial" w:cs="宋体"/>
          <w:szCs w:val="21"/>
        </w:rPr>
        <w:t>2.投标人报价不得高于最高限价，否则为无效报价。</w:t>
      </w:r>
    </w:p>
    <w:p>
      <w:pPr>
        <w:autoSpaceDE w:val="0"/>
        <w:autoSpaceDN w:val="0"/>
        <w:adjustRightInd w:val="0"/>
        <w:spacing w:line="340" w:lineRule="exact"/>
        <w:ind w:firstLine="420" w:firstLineChars="200"/>
        <w:rPr>
          <w:rFonts w:ascii="宋体" w:hAnsi="Arial" w:cs="宋体"/>
          <w:szCs w:val="21"/>
        </w:rPr>
      </w:pPr>
      <w:r>
        <w:rPr>
          <w:rFonts w:hint="eastAsia" w:ascii="宋体" w:hAnsi="Arial" w:cs="宋体"/>
          <w:szCs w:val="21"/>
        </w:rPr>
        <w:t>3.供货期内价格不得调整。</w:t>
      </w:r>
    </w:p>
    <w:p>
      <w:pPr>
        <w:autoSpaceDE w:val="0"/>
        <w:autoSpaceDN w:val="0"/>
        <w:adjustRightInd w:val="0"/>
        <w:spacing w:line="340" w:lineRule="exact"/>
        <w:ind w:firstLine="420" w:firstLineChars="200"/>
        <w:rPr>
          <w:rFonts w:ascii="宋体" w:hAnsi="Arial" w:cs="宋体"/>
          <w:szCs w:val="21"/>
        </w:rPr>
      </w:pPr>
      <w:r>
        <w:rPr>
          <w:rFonts w:hint="eastAsia" w:ascii="宋体" w:hAnsi="Arial" w:cs="宋体"/>
          <w:szCs w:val="21"/>
        </w:rPr>
        <w:t>4. 投标人须将《分项报价明细表》和电子U盘报价单（必须使用EXCEL或XLS格式）一并装在单独的封袋内递交，并标明“分项报价明细表”字样。纸质报价与电子报价两者报价不同，以加盖公章、签字的纸质报价表为准。《分项报价明细表》随意增减项、无电子U盘报价单、电子U盘报价单格式不符、纸质报价表无公章、签字，违反任何一项均以废标处理。</w:t>
      </w: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宋体" w:cs="楷体"/>
          <w:b/>
          <w:bCs/>
          <w:sz w:val="28"/>
          <w:szCs w:val="28"/>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jc w:val="center"/>
        <w:rPr>
          <w:rFonts w:ascii="宋体" w:hAnsi="宋体" w:cs="楷体"/>
          <w:b/>
          <w:bCs/>
          <w:sz w:val="28"/>
          <w:szCs w:val="28"/>
        </w:rPr>
      </w:pPr>
    </w:p>
    <w:p>
      <w:pPr>
        <w:pageBreakBefore/>
        <w:autoSpaceDE w:val="0"/>
        <w:autoSpaceDN w:val="0"/>
        <w:adjustRightInd w:val="0"/>
        <w:spacing w:before="50" w:after="50"/>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5"/>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可行性实施方案、项目重点难点分析、应急处理工作方案</w:t>
      </w:r>
      <w:r>
        <w:rPr>
          <w:rFonts w:hint="eastAsia" w:ascii="宋体" w:hAnsi="宋体" w:cs="黑体"/>
          <w:b/>
          <w:sz w:val="32"/>
          <w:szCs w:val="32"/>
        </w:rPr>
        <w:t>和</w:t>
      </w:r>
      <w:r>
        <w:rPr>
          <w:rFonts w:hint="eastAsia" w:ascii="宋体" w:hAnsi="宋体" w:cs="黑体"/>
          <w:b/>
          <w:sz w:val="32"/>
          <w:szCs w:val="32"/>
          <w:lang w:val="zh-CN"/>
        </w:rPr>
        <w:t>预案、违约承诺</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25</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42</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43</w:t>
    </w:r>
    <w:r>
      <w:fldChar w:fldCharType="end"/>
    </w:r>
  </w:p>
  <w:p>
    <w:pPr>
      <w:pStyle w:val="1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5A9C"/>
    <w:rsid w:val="00006091"/>
    <w:rsid w:val="00007EF1"/>
    <w:rsid w:val="00013777"/>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2125"/>
    <w:rsid w:val="0009404A"/>
    <w:rsid w:val="00094224"/>
    <w:rsid w:val="00094722"/>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E87"/>
    <w:rsid w:val="001531EF"/>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A39"/>
    <w:rsid w:val="00240F98"/>
    <w:rsid w:val="00243544"/>
    <w:rsid w:val="002479F9"/>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672B"/>
    <w:rsid w:val="002D422D"/>
    <w:rsid w:val="002D73D7"/>
    <w:rsid w:val="002D797B"/>
    <w:rsid w:val="002E00AD"/>
    <w:rsid w:val="002E01E9"/>
    <w:rsid w:val="002E07BB"/>
    <w:rsid w:val="002E09A3"/>
    <w:rsid w:val="002E0C70"/>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3745"/>
    <w:rsid w:val="00474638"/>
    <w:rsid w:val="00474D3D"/>
    <w:rsid w:val="00475A40"/>
    <w:rsid w:val="00483D5C"/>
    <w:rsid w:val="004841DF"/>
    <w:rsid w:val="00485A55"/>
    <w:rsid w:val="004924AB"/>
    <w:rsid w:val="004A0A43"/>
    <w:rsid w:val="004A2056"/>
    <w:rsid w:val="004A7329"/>
    <w:rsid w:val="004B04B7"/>
    <w:rsid w:val="004B0583"/>
    <w:rsid w:val="004B0F0A"/>
    <w:rsid w:val="004B2866"/>
    <w:rsid w:val="004B3A60"/>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33F1"/>
    <w:rsid w:val="0057669E"/>
    <w:rsid w:val="005779F1"/>
    <w:rsid w:val="005853D7"/>
    <w:rsid w:val="00585A45"/>
    <w:rsid w:val="00586156"/>
    <w:rsid w:val="00586463"/>
    <w:rsid w:val="005932DA"/>
    <w:rsid w:val="005958E5"/>
    <w:rsid w:val="00596FA3"/>
    <w:rsid w:val="005B234A"/>
    <w:rsid w:val="005B31A5"/>
    <w:rsid w:val="005B352E"/>
    <w:rsid w:val="005B5096"/>
    <w:rsid w:val="005B76CA"/>
    <w:rsid w:val="005C2B74"/>
    <w:rsid w:val="005C3617"/>
    <w:rsid w:val="005C663B"/>
    <w:rsid w:val="005C6C07"/>
    <w:rsid w:val="005D6055"/>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43B86"/>
    <w:rsid w:val="00844865"/>
    <w:rsid w:val="0084558D"/>
    <w:rsid w:val="00846994"/>
    <w:rsid w:val="008472A0"/>
    <w:rsid w:val="00851700"/>
    <w:rsid w:val="008524EE"/>
    <w:rsid w:val="00855AAE"/>
    <w:rsid w:val="00856E4F"/>
    <w:rsid w:val="00864BB2"/>
    <w:rsid w:val="00866328"/>
    <w:rsid w:val="00871D0F"/>
    <w:rsid w:val="00873097"/>
    <w:rsid w:val="00876FA7"/>
    <w:rsid w:val="00883A82"/>
    <w:rsid w:val="00885180"/>
    <w:rsid w:val="00885842"/>
    <w:rsid w:val="008A321E"/>
    <w:rsid w:val="008A375B"/>
    <w:rsid w:val="008A3EBF"/>
    <w:rsid w:val="008B5A15"/>
    <w:rsid w:val="008B5F8F"/>
    <w:rsid w:val="008B69F6"/>
    <w:rsid w:val="008B6A85"/>
    <w:rsid w:val="008C2636"/>
    <w:rsid w:val="008C3D10"/>
    <w:rsid w:val="008C42B6"/>
    <w:rsid w:val="008C57ED"/>
    <w:rsid w:val="008C7AA7"/>
    <w:rsid w:val="008D0EC8"/>
    <w:rsid w:val="008D2822"/>
    <w:rsid w:val="008D2B37"/>
    <w:rsid w:val="008D3595"/>
    <w:rsid w:val="008D48CB"/>
    <w:rsid w:val="008D6016"/>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4023"/>
    <w:rsid w:val="00AB62EA"/>
    <w:rsid w:val="00AB67B3"/>
    <w:rsid w:val="00AB712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71D2"/>
    <w:rsid w:val="00B578CD"/>
    <w:rsid w:val="00B57EDA"/>
    <w:rsid w:val="00B60F32"/>
    <w:rsid w:val="00B64651"/>
    <w:rsid w:val="00B724A2"/>
    <w:rsid w:val="00B7254B"/>
    <w:rsid w:val="00B76410"/>
    <w:rsid w:val="00B77C43"/>
    <w:rsid w:val="00B8154E"/>
    <w:rsid w:val="00B841AB"/>
    <w:rsid w:val="00B84351"/>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534B"/>
    <w:rsid w:val="00BB5699"/>
    <w:rsid w:val="00BB6BDD"/>
    <w:rsid w:val="00BB6FA1"/>
    <w:rsid w:val="00BB7E9C"/>
    <w:rsid w:val="00BC5151"/>
    <w:rsid w:val="00BC5506"/>
    <w:rsid w:val="00BC5918"/>
    <w:rsid w:val="00BD4510"/>
    <w:rsid w:val="00BD47CE"/>
    <w:rsid w:val="00BD4FAF"/>
    <w:rsid w:val="00BD6EF6"/>
    <w:rsid w:val="00BE0E03"/>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307B"/>
    <w:rsid w:val="00CB5632"/>
    <w:rsid w:val="00CB6F62"/>
    <w:rsid w:val="00CC1D2A"/>
    <w:rsid w:val="00CC251B"/>
    <w:rsid w:val="00CC3251"/>
    <w:rsid w:val="00CC3BD2"/>
    <w:rsid w:val="00CC427F"/>
    <w:rsid w:val="00CD0150"/>
    <w:rsid w:val="00CD3A22"/>
    <w:rsid w:val="00CD558B"/>
    <w:rsid w:val="00CD58FF"/>
    <w:rsid w:val="00CD75B5"/>
    <w:rsid w:val="00CE434C"/>
    <w:rsid w:val="00CE463D"/>
    <w:rsid w:val="00CE61A7"/>
    <w:rsid w:val="00CF5799"/>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483C"/>
    <w:rsid w:val="00DA7B4F"/>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47E09"/>
    <w:rsid w:val="00E51AB9"/>
    <w:rsid w:val="00E54244"/>
    <w:rsid w:val="00E579F1"/>
    <w:rsid w:val="00E612E4"/>
    <w:rsid w:val="00E62711"/>
    <w:rsid w:val="00E627FE"/>
    <w:rsid w:val="00E6286C"/>
    <w:rsid w:val="00E64782"/>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1B0"/>
    <w:rsid w:val="00EC079B"/>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5421"/>
    <w:rsid w:val="00FF54F8"/>
    <w:rsid w:val="00FF58D9"/>
    <w:rsid w:val="018A5D41"/>
    <w:rsid w:val="01E45FB7"/>
    <w:rsid w:val="02415C62"/>
    <w:rsid w:val="02872629"/>
    <w:rsid w:val="035058C7"/>
    <w:rsid w:val="035E0DBD"/>
    <w:rsid w:val="03F86B1C"/>
    <w:rsid w:val="04784D87"/>
    <w:rsid w:val="060317A8"/>
    <w:rsid w:val="07C35693"/>
    <w:rsid w:val="08BF40AC"/>
    <w:rsid w:val="08CE22D8"/>
    <w:rsid w:val="09782D65"/>
    <w:rsid w:val="099A468B"/>
    <w:rsid w:val="0A875C10"/>
    <w:rsid w:val="0AF3628F"/>
    <w:rsid w:val="0B363250"/>
    <w:rsid w:val="0BE36D47"/>
    <w:rsid w:val="0C4C20FB"/>
    <w:rsid w:val="0CD820F1"/>
    <w:rsid w:val="0CE25200"/>
    <w:rsid w:val="0D5E1B07"/>
    <w:rsid w:val="0DE079F5"/>
    <w:rsid w:val="0E545297"/>
    <w:rsid w:val="10516D8F"/>
    <w:rsid w:val="106F56A5"/>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ABF141C"/>
    <w:rsid w:val="1EF651FF"/>
    <w:rsid w:val="1F262338"/>
    <w:rsid w:val="1F550AAE"/>
    <w:rsid w:val="21010D55"/>
    <w:rsid w:val="21D94E59"/>
    <w:rsid w:val="224156DA"/>
    <w:rsid w:val="230230BC"/>
    <w:rsid w:val="23984280"/>
    <w:rsid w:val="253B0B07"/>
    <w:rsid w:val="257449AC"/>
    <w:rsid w:val="2790205B"/>
    <w:rsid w:val="288D3427"/>
    <w:rsid w:val="28C54DCD"/>
    <w:rsid w:val="28CE4005"/>
    <w:rsid w:val="29F9354B"/>
    <w:rsid w:val="2A73489F"/>
    <w:rsid w:val="2C5C33A3"/>
    <w:rsid w:val="2CE455E0"/>
    <w:rsid w:val="2CF73A01"/>
    <w:rsid w:val="2E1524DD"/>
    <w:rsid w:val="301B0ADB"/>
    <w:rsid w:val="308B2942"/>
    <w:rsid w:val="32285F6F"/>
    <w:rsid w:val="3266677F"/>
    <w:rsid w:val="32ED521C"/>
    <w:rsid w:val="348F6779"/>
    <w:rsid w:val="36061271"/>
    <w:rsid w:val="360D3DFA"/>
    <w:rsid w:val="377939F2"/>
    <w:rsid w:val="38AA5930"/>
    <w:rsid w:val="392626C6"/>
    <w:rsid w:val="3943735F"/>
    <w:rsid w:val="39965260"/>
    <w:rsid w:val="3A4D0C68"/>
    <w:rsid w:val="3B003F2D"/>
    <w:rsid w:val="3B4007CD"/>
    <w:rsid w:val="3EA347C1"/>
    <w:rsid w:val="3EDD5BC4"/>
    <w:rsid w:val="40384169"/>
    <w:rsid w:val="40B04500"/>
    <w:rsid w:val="40CA3013"/>
    <w:rsid w:val="41874A60"/>
    <w:rsid w:val="427B5168"/>
    <w:rsid w:val="42870A90"/>
    <w:rsid w:val="42C13A9F"/>
    <w:rsid w:val="43076514"/>
    <w:rsid w:val="43FB4232"/>
    <w:rsid w:val="444F1F4F"/>
    <w:rsid w:val="447F7AC2"/>
    <w:rsid w:val="44A1236F"/>
    <w:rsid w:val="44F22F67"/>
    <w:rsid w:val="456B4496"/>
    <w:rsid w:val="493F377B"/>
    <w:rsid w:val="49AA1C33"/>
    <w:rsid w:val="4B8E3418"/>
    <w:rsid w:val="4C9F589F"/>
    <w:rsid w:val="4D1E40A2"/>
    <w:rsid w:val="4DD04FF2"/>
    <w:rsid w:val="4DE01544"/>
    <w:rsid w:val="4E824F2D"/>
    <w:rsid w:val="4F6603AB"/>
    <w:rsid w:val="4F820F5D"/>
    <w:rsid w:val="50B74C36"/>
    <w:rsid w:val="51D27F79"/>
    <w:rsid w:val="52F77B3F"/>
    <w:rsid w:val="54824DEE"/>
    <w:rsid w:val="54F86141"/>
    <w:rsid w:val="54F95756"/>
    <w:rsid w:val="553C7B08"/>
    <w:rsid w:val="562A45DB"/>
    <w:rsid w:val="564F41DF"/>
    <w:rsid w:val="565E6B78"/>
    <w:rsid w:val="56C43C09"/>
    <w:rsid w:val="574A2360"/>
    <w:rsid w:val="58307579"/>
    <w:rsid w:val="584D6470"/>
    <w:rsid w:val="5859300C"/>
    <w:rsid w:val="5874204B"/>
    <w:rsid w:val="587578B0"/>
    <w:rsid w:val="5B1769FD"/>
    <w:rsid w:val="5BCD355F"/>
    <w:rsid w:val="5BDE751B"/>
    <w:rsid w:val="5C4B03E3"/>
    <w:rsid w:val="5C4C0928"/>
    <w:rsid w:val="5C9D2F32"/>
    <w:rsid w:val="5D630203"/>
    <w:rsid w:val="5D90675D"/>
    <w:rsid w:val="5DBA3C92"/>
    <w:rsid w:val="5E5771CD"/>
    <w:rsid w:val="5E991CA2"/>
    <w:rsid w:val="5F4B3119"/>
    <w:rsid w:val="5FE86BBA"/>
    <w:rsid w:val="61C0584D"/>
    <w:rsid w:val="64835103"/>
    <w:rsid w:val="64AD03D2"/>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F1108E1"/>
    <w:rsid w:val="6FCC4427"/>
    <w:rsid w:val="7064403B"/>
    <w:rsid w:val="70726E22"/>
    <w:rsid w:val="709C1A26"/>
    <w:rsid w:val="70C8281B"/>
    <w:rsid w:val="715F2A54"/>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83AEF"/>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autoRedefine/>
    <w:qFormat/>
    <w:uiPriority w:val="99"/>
    <w:pPr>
      <w:autoSpaceDE w:val="0"/>
      <w:autoSpaceDN w:val="0"/>
      <w:adjustRightInd w:val="0"/>
      <w:jc w:val="left"/>
      <w:outlineLvl w:val="0"/>
    </w:pPr>
    <w:rPr>
      <w:kern w:val="0"/>
      <w:sz w:val="24"/>
      <w:szCs w:val="24"/>
    </w:rPr>
  </w:style>
  <w:style w:type="paragraph" w:styleId="3">
    <w:name w:val="heading 2"/>
    <w:basedOn w:val="1"/>
    <w:next w:val="1"/>
    <w:link w:val="22"/>
    <w:qFormat/>
    <w:uiPriority w:val="99"/>
    <w:pPr>
      <w:autoSpaceDE w:val="0"/>
      <w:autoSpaceDN w:val="0"/>
      <w:adjustRightInd w:val="0"/>
      <w:jc w:val="left"/>
      <w:outlineLvl w:val="1"/>
    </w:pPr>
    <w:rPr>
      <w:kern w:val="0"/>
      <w:sz w:val="24"/>
      <w:szCs w:val="24"/>
    </w:rPr>
  </w:style>
  <w:style w:type="paragraph" w:styleId="4">
    <w:name w:val="heading 3"/>
    <w:basedOn w:val="1"/>
    <w:next w:val="1"/>
    <w:link w:val="23"/>
    <w:qFormat/>
    <w:uiPriority w:val="99"/>
    <w:pPr>
      <w:autoSpaceDE w:val="0"/>
      <w:autoSpaceDN w:val="0"/>
      <w:adjustRightInd w:val="0"/>
      <w:jc w:val="left"/>
      <w:outlineLvl w:val="2"/>
    </w:pPr>
    <w:rPr>
      <w:kern w:val="0"/>
      <w:sz w:val="24"/>
      <w:szCs w:val="24"/>
    </w:rPr>
  </w:style>
  <w:style w:type="paragraph" w:styleId="5">
    <w:name w:val="heading 4"/>
    <w:basedOn w:val="1"/>
    <w:next w:val="1"/>
    <w:link w:val="24"/>
    <w:qFormat/>
    <w:uiPriority w:val="99"/>
    <w:pPr>
      <w:autoSpaceDE w:val="0"/>
      <w:autoSpaceDN w:val="0"/>
      <w:adjustRightInd w:val="0"/>
      <w:jc w:val="left"/>
      <w:outlineLvl w:val="3"/>
    </w:pPr>
    <w:rPr>
      <w:kern w:val="0"/>
      <w:sz w:val="24"/>
      <w:szCs w:val="2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unhideWhenUsed/>
    <w:qFormat/>
    <w:uiPriority w:val="99"/>
    <w:pPr>
      <w:spacing w:after="160" w:line="259" w:lineRule="auto"/>
    </w:pPr>
    <w:rPr>
      <w:rFonts w:ascii="等线" w:hAnsi="等线" w:eastAsia="等线"/>
      <w:sz w:val="20"/>
      <w:szCs w:val="20"/>
    </w:rPr>
  </w:style>
  <w:style w:type="paragraph" w:styleId="7">
    <w:name w:val="toc 3"/>
    <w:basedOn w:val="1"/>
    <w:next w:val="1"/>
    <w:unhideWhenUsed/>
    <w:qFormat/>
    <w:uiPriority w:val="39"/>
    <w:pPr>
      <w:ind w:left="840" w:leftChars="400"/>
    </w:pPr>
  </w:style>
  <w:style w:type="paragraph" w:styleId="8">
    <w:name w:val="Date"/>
    <w:basedOn w:val="1"/>
    <w:next w:val="1"/>
    <w:autoRedefine/>
    <w:qFormat/>
    <w:uiPriority w:val="0"/>
    <w:pPr>
      <w:ind w:left="100" w:leftChars="2500"/>
    </w:pPr>
  </w:style>
  <w:style w:type="paragraph" w:styleId="9">
    <w:name w:val="Balloon Text"/>
    <w:basedOn w:val="1"/>
    <w:link w:val="26"/>
    <w:unhideWhenUsed/>
    <w:uiPriority w:val="99"/>
    <w:rPr>
      <w:sz w:val="18"/>
      <w:szCs w:val="18"/>
    </w:rPr>
  </w:style>
  <w:style w:type="paragraph" w:styleId="10">
    <w:name w:val="footer"/>
    <w:basedOn w:val="1"/>
    <w:link w:val="27"/>
    <w:autoRedefine/>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Normal (Web)"/>
    <w:basedOn w:val="1"/>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4">
    <w:name w:val="annotation subject"/>
    <w:basedOn w:val="6"/>
    <w:next w:val="6"/>
    <w:link w:val="29"/>
    <w:unhideWhenUsed/>
    <w:uiPriority w:val="99"/>
    <w:pPr>
      <w:spacing w:after="0" w:line="240" w:lineRule="auto"/>
      <w:jc w:val="left"/>
    </w:pPr>
    <w:rPr>
      <w:b/>
      <w:bCs/>
      <w:sz w:val="21"/>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rFonts w:cs="Times New Roman"/>
      <w:b/>
      <w:bCs/>
    </w:rPr>
  </w:style>
  <w:style w:type="character" w:styleId="19">
    <w:name w:val="Hyperlink"/>
    <w:autoRedefine/>
    <w:unhideWhenUsed/>
    <w:qFormat/>
    <w:uiPriority w:val="99"/>
    <w:rPr>
      <w:color w:val="0000FF"/>
      <w:u w:val="single"/>
    </w:rPr>
  </w:style>
  <w:style w:type="character" w:styleId="20">
    <w:name w:val="annotation reference"/>
    <w:autoRedefine/>
    <w:unhideWhenUsed/>
    <w:qFormat/>
    <w:uiPriority w:val="99"/>
    <w:rPr>
      <w:sz w:val="21"/>
      <w:szCs w:val="21"/>
    </w:rPr>
  </w:style>
  <w:style w:type="character" w:customStyle="1" w:styleId="21">
    <w:name w:val="标题 1 Char"/>
    <w:link w:val="2"/>
    <w:qFormat/>
    <w:uiPriority w:val="99"/>
    <w:rPr>
      <w:rFonts w:ascii="Times New Roman" w:hAnsi="Times New Roman" w:cs="Times New Roman"/>
      <w:kern w:val="0"/>
      <w:sz w:val="24"/>
      <w:szCs w:val="24"/>
    </w:rPr>
  </w:style>
  <w:style w:type="character" w:customStyle="1" w:styleId="22">
    <w:name w:val="标题 2 Char"/>
    <w:link w:val="3"/>
    <w:autoRedefine/>
    <w:qFormat/>
    <w:uiPriority w:val="99"/>
    <w:rPr>
      <w:rFonts w:ascii="Times New Roman" w:hAnsi="Times New Roman" w:cs="Times New Roman"/>
      <w:kern w:val="0"/>
      <w:sz w:val="24"/>
      <w:szCs w:val="24"/>
    </w:rPr>
  </w:style>
  <w:style w:type="character" w:customStyle="1" w:styleId="23">
    <w:name w:val="标题 3 Char"/>
    <w:link w:val="4"/>
    <w:uiPriority w:val="99"/>
    <w:rPr>
      <w:rFonts w:ascii="Times New Roman" w:hAnsi="Times New Roman" w:cs="Times New Roman"/>
      <w:kern w:val="0"/>
      <w:sz w:val="24"/>
      <w:szCs w:val="24"/>
    </w:rPr>
  </w:style>
  <w:style w:type="character" w:customStyle="1" w:styleId="24">
    <w:name w:val="标题 4 Char"/>
    <w:link w:val="5"/>
    <w:autoRedefine/>
    <w:qFormat/>
    <w:uiPriority w:val="99"/>
    <w:rPr>
      <w:rFonts w:ascii="Times New Roman" w:hAnsi="Times New Roman" w:cs="Times New Roman"/>
      <w:kern w:val="0"/>
      <w:sz w:val="24"/>
      <w:szCs w:val="24"/>
    </w:rPr>
  </w:style>
  <w:style w:type="character" w:customStyle="1" w:styleId="25">
    <w:name w:val="批注文字 Char"/>
    <w:link w:val="6"/>
    <w:qFormat/>
    <w:uiPriority w:val="99"/>
    <w:rPr>
      <w:rFonts w:ascii="等线" w:hAnsi="等线" w:eastAsia="等线"/>
      <w:kern w:val="2"/>
    </w:rPr>
  </w:style>
  <w:style w:type="character" w:customStyle="1" w:styleId="26">
    <w:name w:val="批注框文本 Char"/>
    <w:link w:val="9"/>
    <w:semiHidden/>
    <w:uiPriority w:val="99"/>
    <w:rPr>
      <w:kern w:val="2"/>
      <w:sz w:val="18"/>
      <w:szCs w:val="18"/>
    </w:rPr>
  </w:style>
  <w:style w:type="character" w:customStyle="1" w:styleId="27">
    <w:name w:val="页脚 Char"/>
    <w:link w:val="10"/>
    <w:autoRedefine/>
    <w:qFormat/>
    <w:uiPriority w:val="99"/>
    <w:rPr>
      <w:kern w:val="2"/>
      <w:sz w:val="18"/>
      <w:szCs w:val="18"/>
    </w:rPr>
  </w:style>
  <w:style w:type="character" w:customStyle="1" w:styleId="28">
    <w:name w:val="页眉 Char"/>
    <w:link w:val="11"/>
    <w:qFormat/>
    <w:uiPriority w:val="0"/>
    <w:rPr>
      <w:kern w:val="2"/>
      <w:sz w:val="18"/>
      <w:szCs w:val="18"/>
    </w:rPr>
  </w:style>
  <w:style w:type="character" w:customStyle="1" w:styleId="29">
    <w:name w:val="批注主题 Char"/>
    <w:link w:val="14"/>
    <w:semiHidden/>
    <w:uiPriority w:val="99"/>
    <w:rPr>
      <w:rFonts w:ascii="等线" w:hAnsi="等线" w:eastAsia="等线"/>
      <w:b/>
      <w:bCs/>
      <w:kern w:val="2"/>
      <w:sz w:val="21"/>
      <w:szCs w:val="22"/>
    </w:rPr>
  </w:style>
  <w:style w:type="character" w:customStyle="1" w:styleId="30">
    <w:name w:val="批注文字 Char1"/>
    <w:autoRedefine/>
    <w:semiHidden/>
    <w:qFormat/>
    <w:uiPriority w:val="99"/>
    <w:rPr>
      <w:kern w:val="2"/>
      <w:sz w:val="21"/>
      <w:szCs w:val="22"/>
    </w:rPr>
  </w:style>
  <w:style w:type="paragraph" w:styleId="31">
    <w:name w:val="List Paragraph"/>
    <w:basedOn w:val="1"/>
    <w:autoRedefine/>
    <w:qFormat/>
    <w:uiPriority w:val="0"/>
    <w:pPr>
      <w:ind w:firstLine="420" w:firstLineChars="200"/>
    </w:p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列出段落1"/>
    <w:basedOn w:val="1"/>
    <w:autoRedefine/>
    <w:qFormat/>
    <w:uiPriority w:val="0"/>
    <w:pPr>
      <w:ind w:firstLine="420" w:firstLineChars="200"/>
    </w:pPr>
  </w:style>
  <w:style w:type="paragraph" w:customStyle="1" w:styleId="35">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36">
    <w:name w:val="font11"/>
    <w:autoRedefine/>
    <w:qFormat/>
    <w:uiPriority w:val="0"/>
    <w:rPr>
      <w:rFonts w:hint="eastAsia" w:ascii="宋体" w:hAnsi="宋体" w:eastAsia="宋体" w:cs="宋体"/>
      <w:color w:val="000000"/>
      <w:sz w:val="18"/>
      <w:szCs w:val="18"/>
      <w:u w:val="none"/>
    </w:rPr>
  </w:style>
  <w:style w:type="character" w:customStyle="1" w:styleId="37">
    <w:name w:val="NormalCharacter"/>
    <w:autoRedefine/>
    <w:semiHidden/>
    <w:qFormat/>
    <w:uiPriority w:val="0"/>
  </w:style>
  <w:style w:type="character" w:customStyle="1" w:styleId="38">
    <w:name w:val="页脚 字符"/>
    <w:autoRedefine/>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2D52-4C3E-42C0-BCE7-256EB4C1F2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3594</Words>
  <Characters>20492</Characters>
  <Lines>170</Lines>
  <Paragraphs>48</Paragraphs>
  <TotalTime>2</TotalTime>
  <ScaleCrop>false</ScaleCrop>
  <LinksUpToDate>false</LinksUpToDate>
  <CharactersWithSpaces>24038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2024-01-09T11:02:20Z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