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w:t>
      </w:r>
      <w:r>
        <w:rPr>
          <w:rFonts w:hint="eastAsia" w:ascii="宋体" w:hAnsi="宋体" w:cs="宋体"/>
          <w:b/>
          <w:bCs/>
          <w:sz w:val="36"/>
          <w:szCs w:val="36"/>
        </w:rPr>
        <w:t>10</w:t>
      </w:r>
    </w:p>
    <w:p>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盐城师范学院2024年秋学期食堂低值易耗一次性用品采购项目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盐城师范学院2024年秋学期食堂低值易耗一次性用品采购项目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10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盐城师范学院2024年秋学期食堂低值易耗一次性用品采购项目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2024年8月26日至2025年1月1</w:t>
      </w:r>
      <w:r>
        <w:rPr>
          <w:rFonts w:hint="eastAsia" w:ascii="宋体" w:hAnsi="宋体" w:cs="宋体"/>
          <w:kern w:val="0"/>
          <w:sz w:val="24"/>
          <w:u w:val="single"/>
          <w:lang w:val="en-US" w:eastAsia="zh-CN"/>
        </w:rPr>
        <w:t>5</w:t>
      </w:r>
      <w:r>
        <w:rPr>
          <w:rFonts w:hint="eastAsia" w:ascii="宋体" w:hAnsi="宋体" w:cs="宋体"/>
          <w:kern w:val="0"/>
          <w:sz w:val="24"/>
          <w:u w:val="single"/>
        </w:rPr>
        <w:t>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（一）供应商为生产企业：</w:t>
      </w:r>
    </w:p>
    <w:p>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（2）生产许可证复印件（加盖单位公章）；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（3）具有检测资质第三方出具的质量检验报告复印件（2024年1月1日以后的）。</w:t>
      </w:r>
    </w:p>
    <w:p>
      <w:pPr>
        <w:spacing w:line="480" w:lineRule="exact"/>
        <w:ind w:firstLine="480" w:firstLineChars="200"/>
        <w:rPr>
          <w:rFonts w:ascii="宋体" w:hAnsi="宋体"/>
          <w:bCs/>
          <w:sz w:val="24"/>
          <w:szCs w:val="24"/>
        </w:rPr>
      </w:pPr>
      <w:r>
        <w:rPr>
          <w:rFonts w:hint="eastAsia" w:ascii="宋体" w:hAnsi="宋体"/>
          <w:bCs/>
          <w:sz w:val="24"/>
          <w:szCs w:val="24"/>
        </w:rPr>
        <w:t>（二）供应商为代理商或经销商：</w:t>
      </w:r>
    </w:p>
    <w:p>
      <w:pPr>
        <w:spacing w:line="480" w:lineRule="exact"/>
        <w:ind w:firstLine="480" w:firstLineChars="200"/>
        <w:rPr>
          <w:rFonts w:ascii="宋体" w:hAnsi="宋体"/>
          <w:bCs/>
          <w:sz w:val="24"/>
          <w:szCs w:val="24"/>
        </w:rPr>
      </w:pP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（2）生产企业生产许可证复印件（加盖单位公章）；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（3）生产企业具有检测资质第三方出具的质量检验报告复印件（2024年1月1日以后的）</w:t>
      </w:r>
    </w:p>
    <w:p>
      <w:pPr>
        <w:spacing w:line="480" w:lineRule="exact"/>
        <w:ind w:firstLine="480" w:firstLineChars="200"/>
        <w:rPr>
          <w:rFonts w:ascii="宋体" w:hAnsi="宋体"/>
          <w:bCs/>
          <w:sz w:val="24"/>
          <w:szCs w:val="24"/>
        </w:rPr>
      </w:pPr>
      <w:r>
        <w:rPr>
          <w:rFonts w:hint="eastAsia" w:ascii="宋体" w:hAnsi="宋体"/>
          <w:bCs/>
          <w:sz w:val="24"/>
          <w:szCs w:val="24"/>
        </w:rPr>
        <w:t>（4）代理商或经销商企业法人或者其他组织的营业执照、税务登记证、组织机构代码证（三证合一的投标人只需提供加载统一社会信用代码的营业执照）等证明文件复印件（加盖单位公章）；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（5）代理商或经销商授权书原件。</w:t>
      </w:r>
    </w:p>
    <w:p>
      <w:pPr>
        <w:spacing w:line="480" w:lineRule="exact"/>
        <w:ind w:firstLine="480" w:firstLineChars="200"/>
        <w:rPr>
          <w:rFonts w:ascii="宋体" w:hAnsi="宋体"/>
          <w:bCs/>
          <w:sz w:val="24"/>
          <w:szCs w:val="24"/>
        </w:rPr>
      </w:pPr>
      <w:r>
        <w:rPr>
          <w:rFonts w:hint="eastAsia" w:ascii="宋体" w:hAnsi="宋体"/>
          <w:bCs/>
          <w:sz w:val="24"/>
          <w:szCs w:val="24"/>
        </w:rPr>
        <w:t>（三）未被“信用中国”网站（www.creditchina.gov.cn）列入失信被执行人、重大税收违法案件当事人名单、政府采购严重失信行为记录名单。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日上午8：30-9：00；盐城师范学院新长校区后勤综合楼三楼招标会议室。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28359085"/>
      <w:bookmarkStart w:id="2" w:name="_Toc28359008"/>
      <w:bookmarkStart w:id="3" w:name="_Toc35393627"/>
      <w:bookmarkStart w:id="4" w:name="_Toc35393796"/>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6480" w:firstLineChars="2700"/>
        <w:rPr>
          <w:rStyle w:val="37"/>
          <w:rFonts w:ascii="宋体" w:hAnsi="宋体"/>
          <w:sz w:val="24"/>
        </w:rPr>
      </w:pPr>
      <w:r>
        <w:rPr>
          <w:rStyle w:val="37"/>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155527169"/>
      <w:bookmarkStart w:id="30" w:name="_Toc47629959"/>
      <w:bookmarkStart w:id="31" w:name="_Toc47629327"/>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甲乙双方根据盐城师范学院2024年秋学期食堂低值易耗一次性用品采购项目公开招标的结果，签署本合同。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一、货物名称：低值易耗一次性用品。</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低值易耗品质量符合国家相关产品质量标准，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2.产品外包装上明确标注产品名称、规格、生产日期、保质期、生产厂家、生产地点等，一次性塑料打包盒（碗）、豆浆纸杯、塑料杯上必须标明“QS”生产许可标识。</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w:t>
      </w:r>
      <w:bookmarkStart w:id="41" w:name="_GoBack"/>
      <w:bookmarkEnd w:id="41"/>
      <w:r>
        <w:rPr>
          <w:rFonts w:hint="eastAsia" w:ascii="宋体" w:hAnsi="宋体" w:cs="宋体"/>
          <w:b/>
          <w:color w:val="000000"/>
          <w:kern w:val="0"/>
          <w:sz w:val="24"/>
          <w:szCs w:val="24"/>
        </w:rPr>
        <w:t>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乙方每批次提供的货物，必须经甲方采供中心、饮服中心验收人员联合验收合格并签单后才能视为有效，否则均视为无效供货。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726" w:type="dxa"/>
        <w:tblInd w:w="0" w:type="dxa"/>
        <w:tblLayout w:type="fixed"/>
        <w:tblCellMar>
          <w:top w:w="0" w:type="dxa"/>
          <w:left w:w="0" w:type="dxa"/>
          <w:bottom w:w="0" w:type="dxa"/>
          <w:right w:w="0" w:type="dxa"/>
        </w:tblCellMar>
      </w:tblPr>
      <w:tblGrid>
        <w:gridCol w:w="2175"/>
        <w:gridCol w:w="2159"/>
        <w:gridCol w:w="863"/>
        <w:gridCol w:w="2478"/>
        <w:gridCol w:w="2051"/>
      </w:tblGrid>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名   称</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品牌/产地</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w:t>
            </w:r>
          </w:p>
        </w:tc>
        <w:tc>
          <w:tcPr>
            <w:tcW w:w="24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规格要求</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单价（元）</w:t>
            </w: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650塑料方盒</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650ml方形带盖</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750塑料方盒</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750ml方形带盖</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1000塑料圆盒</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1000ml圆形带盖</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1250塑料圆盒</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1250ml圆形带盖</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450塑料圆汤碗</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450ml圆形带盖</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960纸碗</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960ml纸质圆碗</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850纸碗</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highlight w:val="yellow"/>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850ml纸质圆碗</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塑料方形四格盒</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食品用塑料袋</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20cm</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食品用塑料袋</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24cm</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食品用塑料袋</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28cm</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食品用塑料袋</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40cm</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豆浆纸杯</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12盎司 带盖</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塑料彩杯</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450ml带盖</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一次性竹筷</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双</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一次性手套</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粗吸管</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细吸管</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塑料口罩（好）</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保鲜膜</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卷</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45cm</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洗洁净</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斤</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rPr>
            </w:pP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r>
      <w:tr>
        <w:tblPrEx>
          <w:tblCellMar>
            <w:top w:w="0" w:type="dxa"/>
            <w:left w:w="0" w:type="dxa"/>
            <w:bottom w:w="0" w:type="dxa"/>
            <w:right w:w="0" w:type="dxa"/>
          </w:tblCellMar>
        </w:tblPrEx>
        <w:trPr>
          <w:trHeight w:val="496" w:hRule="atLeast"/>
        </w:trPr>
        <w:tc>
          <w:tcPr>
            <w:tcW w:w="21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牛皮纸打包盒</w:t>
            </w:r>
          </w:p>
        </w:tc>
        <w:tc>
          <w:tcPr>
            <w:tcW w:w="215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highlight w:val="yellow"/>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只</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szCs w:val="24"/>
                <w:highlight w:val="yellow"/>
              </w:rPr>
            </w:pPr>
            <w:r>
              <w:rPr>
                <w:rFonts w:hint="eastAsia" w:cs="宋体" w:asciiTheme="minorEastAsia" w:hAnsiTheme="minorEastAsia" w:eastAsiaTheme="minorEastAsia"/>
                <w:sz w:val="24"/>
                <w:szCs w:val="24"/>
                <w:highlight w:val="yellow"/>
              </w:rPr>
              <w:t>1100毫升</w:t>
            </w:r>
          </w:p>
        </w:tc>
        <w:tc>
          <w:tcPr>
            <w:tcW w:w="20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highlight w:val="yellow"/>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（4）供应货物故意串规、定量包装批量误差超过相关规定的。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2.乙方应严格按谈判文件规定的质量标准和投标时提供的样品质量标准进行供货。甲方将退回不达标货物,并扣收履约保证金200—2000元/次,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1、采购内容：低值易耗一次性用品；</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2、预计采购量：低值易耗一次性用品</w:t>
      </w:r>
      <w:r>
        <w:rPr>
          <w:rFonts w:hint="eastAsia" w:ascii="宋体" w:hAnsi="宋体" w:cs="宋体"/>
          <w:kern w:val="0"/>
          <w:sz w:val="24"/>
        </w:rPr>
        <w:t>10000件</w:t>
      </w:r>
      <w:r>
        <w:rPr>
          <w:rFonts w:hint="eastAsia" w:ascii="宋体" w:hAnsi="宋体" w:cs="宋体"/>
          <w:kern w:val="0"/>
          <w:sz w:val="24"/>
          <w:szCs w:val="24"/>
        </w:rPr>
        <w:t>。“预计采购量”仅作为投标参考量，不作为合同履约依据，最终以采购人实际采购量为准。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一次性塑料打包盒（碗）、食品用塑料袋 、塑料杯必须符GB/T18006.1-2009《塑料一次性餐饮具通用技术要求》；纸杯必须符合GB/T 27590-2011《纸杯》；一次性竹筷必须符合GB 19790.2-2005《一次性筷子第2部分：竹筷》等。</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3、供应商所提供的食品、产品必须安全无害，符合国家规定标准。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4、洗洁净必须执行GB 14930.1-2015食品安全国家标准，A级标准。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每个品种各1件）、感官等应符合招标文件的要求，在规定时间密封送达后勤楼三楼招标会议室，清晰注明投标人名称，中标供应商样品由招标人留存作为验收的依据，未中标的供应商样品开标结束后就可自行取回。</w:t>
      </w:r>
    </w:p>
    <w:p>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tblPrEx>
          <w:tblCellMar>
            <w:top w:w="0" w:type="dxa"/>
            <w:left w:w="108" w:type="dxa"/>
            <w:bottom w:w="0" w:type="dxa"/>
            <w:right w:w="108" w:type="dxa"/>
          </w:tblCellMar>
        </w:tblPrEx>
        <w:trPr>
          <w:trHeight w:val="1538"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一、自2021年6月1日至投标截止日止，投标人具有与本项目内容相匹配的类似项目业绩，每份得2分。</w:t>
            </w:r>
            <w:r>
              <w:rPr>
                <w:rFonts w:hint="eastAsia" w:ascii="宋体" w:hAnsi="宋体"/>
                <w:b/>
                <w:bCs/>
                <w:sz w:val="24"/>
                <w:szCs w:val="24"/>
              </w:rPr>
              <w:t>本项最多得20分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80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二、投标人须有固定仓储仓库用于</w:t>
            </w:r>
            <w:r>
              <w:rPr>
                <w:rFonts w:hint="eastAsia" w:ascii="宋体" w:hAnsi="宋体" w:cs="宋体"/>
                <w:kern w:val="0"/>
                <w:sz w:val="24"/>
                <w:szCs w:val="24"/>
              </w:rPr>
              <w:t>低值易耗一次性用品</w:t>
            </w:r>
            <w:r>
              <w:rPr>
                <w:rFonts w:hint="eastAsia" w:ascii="宋体" w:hAnsi="宋体"/>
                <w:sz w:val="24"/>
                <w:szCs w:val="24"/>
              </w:rPr>
              <w:t>储存，须提供仓储仓库与投标单位之间关系的产权证明复印件，或提供投标单位租赁仓储仓库合同复印件；提供仓储仓库全景及内景照片。照片和复印件加盖投标人公章。</w:t>
            </w:r>
          </w:p>
          <w:p>
            <w:pPr>
              <w:ind w:firstLine="480" w:firstLineChars="200"/>
              <w:rPr>
                <w:rFonts w:ascii="宋体" w:hAnsi="宋体" w:cs="楷体"/>
                <w:sz w:val="24"/>
                <w:szCs w:val="24"/>
              </w:rPr>
            </w:pPr>
            <w:r>
              <w:rPr>
                <w:rFonts w:hint="eastAsia" w:ascii="宋体" w:hAnsi="宋体" w:cs="宋体"/>
                <w:color w:val="000000"/>
                <w:kern w:val="0"/>
                <w:sz w:val="24"/>
                <w:shd w:val="clear" w:color="auto" w:fill="FFFFFF"/>
              </w:rPr>
              <w:t>仓储仓库500平方米（含）以上的得10分，300平方米（含）至500平方米的得8分，200平方米（含）至300平方米的得6分，50平方米（含）至200平方米的得4分，小于50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本项最多得10分。</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385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评分标准与依据（本项最多得6分）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满足以上三项要求得6分，满足以上两项要求得4分，满足一项得2分，其它情况不得分。格式自拟，加盖投标人公章。</w:t>
            </w:r>
          </w:p>
        </w:tc>
      </w:tr>
      <w:tr>
        <w:tblPrEx>
          <w:tblCellMar>
            <w:top w:w="0" w:type="dxa"/>
            <w:left w:w="108" w:type="dxa"/>
            <w:bottom w:w="0" w:type="dxa"/>
            <w:right w:w="108" w:type="dxa"/>
          </w:tblCellMar>
        </w:tblPrEx>
        <w:trPr>
          <w:trHeight w:val="3326"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sz w:val="24"/>
                <w:szCs w:val="24"/>
              </w:rPr>
            </w:pPr>
            <w:r>
              <w:rPr>
                <w:rFonts w:hint="eastAsia" w:ascii="宋体" w:hAnsi="宋体"/>
                <w:b/>
                <w:sz w:val="24"/>
                <w:szCs w:val="24"/>
              </w:rPr>
              <w:t>二、违约承诺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2.评分标准与依据（本项最多得4分）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sz w:val="24"/>
                <w:szCs w:val="24"/>
              </w:rPr>
            </w:pPr>
            <w:r>
              <w:rPr>
                <w:rFonts w:hint="eastAsia" w:ascii="宋体" w:hAnsi="宋体"/>
                <w:sz w:val="24"/>
                <w:szCs w:val="24"/>
              </w:rPr>
              <w:t>满足以上三项要求得4分，满足以上两项要求得2分，满足一项得1分，其它情况不得分。格式自拟，加盖投标人公章。</w:t>
            </w:r>
          </w:p>
        </w:tc>
      </w:tr>
      <w:tr>
        <w:tblPrEx>
          <w:tblCellMar>
            <w:top w:w="0" w:type="dxa"/>
            <w:left w:w="108" w:type="dxa"/>
            <w:bottom w:w="0" w:type="dxa"/>
            <w:right w:w="108" w:type="dxa"/>
          </w:tblCellMar>
        </w:tblPrEx>
        <w:trPr>
          <w:trHeight w:val="4589"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三、样品外观</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根据投标人提供的样品的颜色光泽、标识、质感、气味、尺寸等进行综合评价。</w:t>
            </w:r>
          </w:p>
          <w:p>
            <w:pPr>
              <w:ind w:firstLine="482" w:firstLineChars="200"/>
              <w:rPr>
                <w:rFonts w:ascii="宋体" w:hAnsi="宋体"/>
                <w:b/>
                <w:sz w:val="24"/>
                <w:szCs w:val="24"/>
              </w:rPr>
            </w:pPr>
            <w:r>
              <w:rPr>
                <w:rFonts w:hint="eastAsia" w:ascii="宋体" w:hAnsi="宋体"/>
                <w:b/>
                <w:sz w:val="24"/>
                <w:szCs w:val="24"/>
              </w:rPr>
              <w:t>2.评分标准与依据（本项最多得10分）</w:t>
            </w:r>
          </w:p>
          <w:p>
            <w:pPr>
              <w:ind w:firstLine="480" w:firstLineChars="200"/>
              <w:rPr>
                <w:rFonts w:ascii="宋体" w:hAnsi="宋体"/>
                <w:sz w:val="24"/>
                <w:szCs w:val="24"/>
              </w:rPr>
            </w:pPr>
            <w:r>
              <w:rPr>
                <w:rFonts w:hint="eastAsia" w:ascii="宋体" w:hAnsi="宋体"/>
                <w:sz w:val="24"/>
                <w:szCs w:val="24"/>
              </w:rPr>
              <w:t>（1）颜色光泽：色泽透明无色差（2分），色泽较次（1分），色泽暗淡有色差（0分）；</w:t>
            </w:r>
          </w:p>
          <w:p>
            <w:pPr>
              <w:ind w:firstLine="480" w:firstLineChars="200"/>
              <w:rPr>
                <w:rFonts w:ascii="宋体" w:hAnsi="宋体"/>
                <w:sz w:val="24"/>
                <w:szCs w:val="24"/>
              </w:rPr>
            </w:pPr>
            <w:r>
              <w:rPr>
                <w:rFonts w:hint="eastAsia" w:ascii="宋体" w:hAnsi="宋体"/>
                <w:sz w:val="24"/>
                <w:szCs w:val="24"/>
              </w:rPr>
              <w:t>（2）标识：标识清晰完整（2分），标识清晰度较差（1分），标识不清晰完整（0分）；</w:t>
            </w:r>
          </w:p>
          <w:p>
            <w:pPr>
              <w:ind w:firstLine="480" w:firstLineChars="200"/>
              <w:rPr>
                <w:rFonts w:ascii="宋体" w:hAnsi="宋体"/>
                <w:sz w:val="24"/>
                <w:szCs w:val="24"/>
              </w:rPr>
            </w:pPr>
            <w:r>
              <w:rPr>
                <w:rFonts w:hint="eastAsia" w:ascii="宋体" w:hAnsi="宋体"/>
                <w:sz w:val="24"/>
                <w:szCs w:val="24"/>
              </w:rPr>
              <w:t>（3）质感：表面光滑质感好（2分），表面光滑质感较好（1分），表面不光滑质感较差（0分）；</w:t>
            </w:r>
          </w:p>
          <w:p>
            <w:pPr>
              <w:ind w:firstLine="480" w:firstLineChars="200"/>
              <w:rPr>
                <w:rFonts w:ascii="宋体" w:hAnsi="宋体"/>
                <w:sz w:val="24"/>
                <w:szCs w:val="24"/>
              </w:rPr>
            </w:pPr>
            <w:r>
              <w:rPr>
                <w:rFonts w:hint="eastAsia" w:ascii="宋体" w:hAnsi="宋体"/>
                <w:sz w:val="24"/>
                <w:szCs w:val="24"/>
              </w:rPr>
              <w:t>（4）气味：无异味（2分），有异味（0分）</w:t>
            </w:r>
          </w:p>
          <w:p>
            <w:pPr>
              <w:ind w:firstLine="480" w:firstLineChars="200"/>
              <w:rPr>
                <w:rFonts w:ascii="宋体" w:hAnsi="宋体"/>
                <w:b/>
                <w:sz w:val="24"/>
                <w:szCs w:val="24"/>
              </w:rPr>
            </w:pPr>
            <w:r>
              <w:rPr>
                <w:rFonts w:hint="eastAsia" w:ascii="宋体" w:hAnsi="宋体"/>
                <w:sz w:val="24"/>
                <w:szCs w:val="24"/>
              </w:rPr>
              <w:t>（5）尺寸：完全符合预定规格（2分），基本符合预定规格（1分），不符合预定规格（0分）。</w:t>
            </w:r>
          </w:p>
        </w:tc>
      </w:tr>
    </w:tbl>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宋体" w:hAnsi="宋体"/>
                <w:iCs/>
                <w:sz w:val="24"/>
                <w:szCs w:val="24"/>
              </w:rPr>
            </w:pPr>
            <w:r>
              <w:rPr>
                <w:rFonts w:hint="eastAsia" w:ascii="宋体" w:hAnsi="宋体"/>
                <w:iCs/>
                <w:sz w:val="24"/>
                <w:szCs w:val="24"/>
              </w:rPr>
              <w:t>供应商应按招标人计划要求，按本文件规定的品种、规格、质量提供成品。</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r>
              <w:rPr>
                <w:rFonts w:hint="eastAsia" w:ascii="宋体" w:hAnsi="宋体"/>
                <w:iCs/>
                <w:sz w:val="24"/>
                <w:szCs w:val="24"/>
              </w:rPr>
              <w:t>洗洁净必须执行GB 14930.1-2015食品安全国家标准，A级标准。</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tcPr>
          <w:p>
            <w:pPr>
              <w:rPr>
                <w:rFonts w:ascii="宋体" w:hAnsi="宋体"/>
                <w:iCs/>
                <w:sz w:val="24"/>
                <w:szCs w:val="24"/>
              </w:rPr>
            </w:pPr>
            <w:r>
              <w:rPr>
                <w:rFonts w:hint="eastAsia" w:ascii="宋体" w:hAnsi="宋体"/>
                <w:iCs/>
                <w:sz w:val="24"/>
                <w:szCs w:val="24"/>
              </w:rPr>
              <w:t>提交的样品质量、规格、数量（每个品种各1件）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6</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40" w:lineRule="exact"/>
        <w:ind w:firstLine="480" w:firstLineChars="200"/>
        <w:rPr>
          <w:rFonts w:ascii="宋体" w:hAnsi="宋体"/>
          <w:sz w:val="24"/>
          <w:szCs w:val="24"/>
        </w:rPr>
      </w:pPr>
      <w:r>
        <w:rPr>
          <w:rFonts w:hint="eastAsia" w:ascii="宋体" w:hAnsi="宋体"/>
          <w:sz w:val="24"/>
          <w:szCs w:val="24"/>
        </w:rPr>
        <w:t>文件4 （一）投标人为生产企业：</w:t>
      </w:r>
    </w:p>
    <w:p>
      <w:pPr>
        <w:snapToGrid w:val="0"/>
        <w:spacing w:line="440" w:lineRule="exact"/>
        <w:ind w:firstLine="480" w:firstLineChars="200"/>
        <w:rPr>
          <w:rFonts w:ascii="宋体" w:hAnsi="宋体"/>
          <w:sz w:val="24"/>
          <w:szCs w:val="24"/>
        </w:rPr>
      </w:pPr>
      <w:r>
        <w:rPr>
          <w:rFonts w:hint="eastAsia" w:ascii="宋体" w:hAnsi="宋体"/>
          <w:sz w:val="24"/>
          <w:szCs w:val="24"/>
        </w:rPr>
        <w:t>（1）企业法人或者其他组织的营业执照、税务登记证、组织机构代码证（三证合一的投标人只需提供加载统一社会信用代码的营业执照）等证明文件复印件（加盖单位公章）；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（2）生产许可证复印件（加盖单位公章）；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（3）具有检测资质第三方出具的质量检验报告复印件（2024年1月1日以后的）。</w:t>
      </w:r>
    </w:p>
    <w:p>
      <w:pPr>
        <w:snapToGrid w:val="0"/>
        <w:spacing w:line="440" w:lineRule="exact"/>
        <w:ind w:firstLine="480" w:firstLineChars="200"/>
        <w:rPr>
          <w:rFonts w:ascii="宋体" w:hAnsi="宋体"/>
          <w:sz w:val="24"/>
          <w:szCs w:val="24"/>
        </w:rPr>
      </w:pPr>
      <w:r>
        <w:rPr>
          <w:rFonts w:hint="eastAsia" w:ascii="宋体" w:hAnsi="宋体"/>
          <w:sz w:val="24"/>
          <w:szCs w:val="24"/>
        </w:rPr>
        <w:t>（二）投标人为代理商或经销商：</w:t>
      </w:r>
    </w:p>
    <w:p>
      <w:pPr>
        <w:snapToGrid w:val="0"/>
        <w:spacing w:line="440" w:lineRule="exact"/>
        <w:ind w:firstLine="480" w:firstLineChars="200"/>
        <w:rPr>
          <w:rFonts w:ascii="宋体" w:hAnsi="宋体"/>
          <w:sz w:val="24"/>
          <w:szCs w:val="24"/>
        </w:rPr>
      </w:pPr>
      <w:r>
        <w:rPr>
          <w:rFonts w:hint="eastAsia" w:ascii="宋体" w:hAnsi="宋体"/>
          <w:sz w:val="24"/>
          <w:szCs w:val="24"/>
        </w:rPr>
        <w:t>（1）生产企业企业法人或者其他组织的营业执照、税务登记证、组织机构代码证（三证合一的投标人只需提供加载统一社会信用代码的营业执照）等证明文件复印件（加盖单位公章）；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（2）生产企业生产许可证复印件（加盖单位公章）；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（3）生产企业具有检测资质第三方出具的质量检验报告复印件（2024年1月1日以后的）</w:t>
      </w:r>
    </w:p>
    <w:p>
      <w:pPr>
        <w:snapToGrid w:val="0"/>
        <w:spacing w:line="440" w:lineRule="exact"/>
        <w:ind w:firstLine="480" w:firstLineChars="200"/>
        <w:rPr>
          <w:rFonts w:ascii="宋体" w:hAnsi="宋体"/>
          <w:sz w:val="24"/>
          <w:szCs w:val="24"/>
        </w:rPr>
      </w:pPr>
      <w:r>
        <w:rPr>
          <w:rFonts w:hint="eastAsia" w:ascii="宋体" w:hAnsi="宋体"/>
          <w:sz w:val="24"/>
          <w:szCs w:val="24"/>
        </w:rPr>
        <w:t>（4）代理商或经销商企业法人或者其他组织的营业执照、税务登记证、组织机构代码证（三证合一的投标人只需提供加载统一社会信用代码的营业执照）等证明文件复印件（加盖单位公章）；</w:t>
      </w:r>
    </w:p>
    <w:p>
      <w:pPr>
        <w:snapToGrid w:val="0"/>
        <w:spacing w:line="440" w:lineRule="exact"/>
        <w:ind w:firstLine="480" w:firstLineChars="200"/>
        <w:rPr>
          <w:rFonts w:ascii="宋体" w:hAnsi="宋体"/>
          <w:sz w:val="24"/>
          <w:szCs w:val="24"/>
        </w:rPr>
      </w:pPr>
      <w:r>
        <w:rPr>
          <w:rFonts w:hint="eastAsia" w:ascii="宋体" w:hAnsi="宋体"/>
          <w:sz w:val="24"/>
          <w:szCs w:val="24"/>
        </w:rPr>
        <w:t>（5）代理商或经销商授权书原件。</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pageBreakBefore/>
        <w:jc w:val="center"/>
        <w:rPr>
          <w:rFonts w:ascii="宋体" w:hAnsi="宋体"/>
          <w:b/>
          <w:sz w:val="32"/>
          <w:szCs w:val="32"/>
        </w:rPr>
      </w:pPr>
      <w:r>
        <w:rPr>
          <w:rFonts w:hint="eastAsia" w:ascii="宋体" w:hAnsi="宋体"/>
          <w:b/>
          <w:sz w:val="32"/>
          <w:szCs w:val="32"/>
        </w:rPr>
        <w:t>代理商或经销商授权书</w:t>
      </w:r>
    </w:p>
    <w:p>
      <w:pPr>
        <w:spacing w:after="240" w:afterLines="100"/>
        <w:rPr>
          <w:rFonts w:ascii="仿宋_GB2312" w:hAnsi="仿宋" w:eastAsia="仿宋_GB2312"/>
          <w:sz w:val="28"/>
          <w:szCs w:val="28"/>
        </w:rPr>
      </w:pPr>
    </w:p>
    <w:p>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pPr>
        <w:tabs>
          <w:tab w:val="left" w:pos="360"/>
        </w:tabs>
        <w:autoSpaceDE w:val="0"/>
        <w:autoSpaceDN w:val="0"/>
        <w:adjustRightInd w:val="0"/>
        <w:spacing w:line="520" w:lineRule="exact"/>
        <w:ind w:firstLine="480"/>
        <w:rPr>
          <w:sz w:val="24"/>
          <w:szCs w:val="24"/>
        </w:rPr>
      </w:pPr>
    </w:p>
    <w:p>
      <w:pPr>
        <w:tabs>
          <w:tab w:val="left" w:pos="953"/>
        </w:tabs>
        <w:jc w:val="center"/>
        <w:rPr>
          <w:rFonts w:ascii="宋体" w:hAnsi="宋体" w:cs="黑体"/>
          <w:b/>
          <w:sz w:val="32"/>
          <w:szCs w:val="32"/>
        </w:rPr>
      </w:pPr>
      <w:r>
        <w:rPr>
          <w:rFonts w:ascii="宋体" w:hAnsi="宋体" w:cs="黑体"/>
          <w:b/>
          <w:sz w:val="32"/>
          <w:szCs w:val="32"/>
        </w:rPr>
        <w:br w:type="page"/>
      </w: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275"/>
        <w:gridCol w:w="1250"/>
        <w:gridCol w:w="780"/>
        <w:gridCol w:w="1123"/>
        <w:gridCol w:w="1037"/>
        <w:gridCol w:w="904"/>
        <w:gridCol w:w="129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jc w:val="center"/>
              <w:rPr>
                <w:rFonts w:ascii="Calibri" w:hAnsi="Calibri"/>
                <w:sz w:val="24"/>
                <w:szCs w:val="24"/>
              </w:rPr>
            </w:pPr>
            <w:r>
              <w:rPr>
                <w:rFonts w:hint="eastAsia" w:ascii="Calibri" w:hAnsi="Calibri"/>
                <w:sz w:val="24"/>
                <w:szCs w:val="24"/>
              </w:rPr>
              <w:t>序号</w:t>
            </w:r>
          </w:p>
        </w:tc>
        <w:tc>
          <w:tcPr>
            <w:tcW w:w="1275" w:type="dxa"/>
            <w:vAlign w:val="center"/>
          </w:tcPr>
          <w:p>
            <w:pPr>
              <w:jc w:val="center"/>
              <w:rPr>
                <w:rFonts w:ascii="Calibri" w:hAnsi="Calibri"/>
                <w:sz w:val="24"/>
                <w:szCs w:val="24"/>
              </w:rPr>
            </w:pPr>
            <w:r>
              <w:rPr>
                <w:rFonts w:hint="eastAsia" w:ascii="Calibri" w:hAnsi="Calibri"/>
                <w:sz w:val="24"/>
                <w:szCs w:val="24"/>
              </w:rPr>
              <w:t>货物名称</w:t>
            </w:r>
          </w:p>
        </w:tc>
        <w:tc>
          <w:tcPr>
            <w:tcW w:w="1250" w:type="dxa"/>
            <w:vAlign w:val="center"/>
          </w:tcPr>
          <w:p>
            <w:pPr>
              <w:jc w:val="center"/>
              <w:rPr>
                <w:rFonts w:ascii="宋体" w:hAnsi="宋体" w:cs="宋体"/>
                <w:bCs/>
                <w:kern w:val="0"/>
                <w:sz w:val="24"/>
                <w:szCs w:val="24"/>
              </w:rPr>
            </w:pPr>
            <w:r>
              <w:rPr>
                <w:rFonts w:hint="eastAsia" w:ascii="宋体" w:hAnsi="宋体" w:cs="宋体"/>
                <w:bCs/>
                <w:kern w:val="0"/>
                <w:sz w:val="24"/>
                <w:szCs w:val="24"/>
              </w:rPr>
              <w:t>规格要求</w:t>
            </w:r>
          </w:p>
        </w:tc>
        <w:tc>
          <w:tcPr>
            <w:tcW w:w="780" w:type="dxa"/>
            <w:vAlign w:val="center"/>
          </w:tcPr>
          <w:p>
            <w:pPr>
              <w:jc w:val="center"/>
              <w:rPr>
                <w:rFonts w:ascii="宋体" w:hAnsi="宋体" w:cs="宋体"/>
                <w:bCs/>
                <w:kern w:val="0"/>
                <w:sz w:val="24"/>
                <w:szCs w:val="24"/>
              </w:rPr>
            </w:pPr>
            <w:r>
              <w:rPr>
                <w:rFonts w:hint="eastAsia" w:ascii="宋体" w:hAnsi="宋体" w:cs="宋体"/>
                <w:bCs/>
                <w:kern w:val="0"/>
                <w:sz w:val="24"/>
                <w:szCs w:val="24"/>
              </w:rPr>
              <w:t>计量单位</w:t>
            </w:r>
          </w:p>
        </w:tc>
        <w:tc>
          <w:tcPr>
            <w:tcW w:w="1123" w:type="dxa"/>
            <w:vAlign w:val="center"/>
          </w:tcPr>
          <w:p>
            <w:pPr>
              <w:jc w:val="center"/>
              <w:rPr>
                <w:rFonts w:ascii="宋体" w:hAnsi="宋体" w:cs="宋体"/>
                <w:bCs/>
                <w:kern w:val="0"/>
                <w:sz w:val="24"/>
                <w:szCs w:val="24"/>
              </w:rPr>
            </w:pPr>
            <w:r>
              <w:rPr>
                <w:rFonts w:hint="eastAsia" w:ascii="宋体" w:hAnsi="宋体" w:cs="宋体"/>
                <w:bCs/>
                <w:kern w:val="0"/>
                <w:sz w:val="24"/>
                <w:szCs w:val="24"/>
              </w:rPr>
              <w:t>预计采购数量</w:t>
            </w:r>
          </w:p>
        </w:tc>
        <w:tc>
          <w:tcPr>
            <w:tcW w:w="1037" w:type="dxa"/>
            <w:vAlign w:val="center"/>
          </w:tcPr>
          <w:p>
            <w:pPr>
              <w:jc w:val="center"/>
              <w:rPr>
                <w:rFonts w:ascii="宋体" w:hAnsi="宋体" w:cs="宋体"/>
                <w:bCs/>
                <w:kern w:val="0"/>
                <w:sz w:val="24"/>
                <w:szCs w:val="24"/>
              </w:rPr>
            </w:pPr>
            <w:r>
              <w:rPr>
                <w:rFonts w:hint="eastAsia" w:ascii="宋体" w:hAnsi="宋体" w:cs="宋体"/>
                <w:bCs/>
                <w:kern w:val="0"/>
                <w:sz w:val="24"/>
                <w:szCs w:val="24"/>
              </w:rPr>
              <w:t>最高限价（元）</w:t>
            </w:r>
          </w:p>
        </w:tc>
        <w:tc>
          <w:tcPr>
            <w:tcW w:w="904" w:type="dxa"/>
            <w:vAlign w:val="center"/>
          </w:tcPr>
          <w:p>
            <w:pPr>
              <w:jc w:val="center"/>
              <w:rPr>
                <w:rFonts w:ascii="Calibri" w:hAnsi="Calibri"/>
                <w:sz w:val="24"/>
                <w:szCs w:val="24"/>
              </w:rPr>
            </w:pPr>
            <w:r>
              <w:rPr>
                <w:rFonts w:hint="eastAsia" w:ascii="宋体" w:hAnsi="宋体" w:cs="宋体"/>
                <w:bCs/>
                <w:kern w:val="0"/>
                <w:sz w:val="24"/>
                <w:szCs w:val="24"/>
              </w:rPr>
              <w:t>品牌</w:t>
            </w:r>
          </w:p>
        </w:tc>
        <w:tc>
          <w:tcPr>
            <w:tcW w:w="1295" w:type="dxa"/>
            <w:vAlign w:val="center"/>
          </w:tcPr>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投标单价</w:t>
            </w:r>
          </w:p>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c>
          <w:tcPr>
            <w:tcW w:w="1297" w:type="dxa"/>
            <w:vAlign w:val="center"/>
          </w:tcPr>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投标合价</w:t>
            </w:r>
          </w:p>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650塑料方盒</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650ml方形带盖</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85000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0.205</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750塑料方盒</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750ml方形带盖</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55000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0.27</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3</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1000塑料圆盒</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1000ml圆形带盖</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0.28</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4</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1250塑料圆盒</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1250ml圆形带盖</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0.44</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5</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450塑料圆汤碗</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450ml圆形带盖</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0.12</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6</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960纸碗</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960ml纸质圆碗</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0.13</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7</w:t>
            </w:r>
          </w:p>
        </w:tc>
        <w:tc>
          <w:tcPr>
            <w:tcW w:w="1275" w:type="dxa"/>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850纸碗</w:t>
            </w:r>
          </w:p>
        </w:tc>
        <w:tc>
          <w:tcPr>
            <w:tcW w:w="1250" w:type="dxa"/>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850毫升</w:t>
            </w:r>
          </w:p>
        </w:tc>
        <w:tc>
          <w:tcPr>
            <w:tcW w:w="780" w:type="dxa"/>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只</w:t>
            </w:r>
          </w:p>
        </w:tc>
        <w:tc>
          <w:tcPr>
            <w:tcW w:w="1123" w:type="dxa"/>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1000</w:t>
            </w:r>
          </w:p>
        </w:tc>
        <w:tc>
          <w:tcPr>
            <w:tcW w:w="1037" w:type="dxa"/>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0.13</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8</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塑料方形四格盒</w:t>
            </w:r>
          </w:p>
        </w:tc>
        <w:tc>
          <w:tcPr>
            <w:tcW w:w="1250" w:type="dxa"/>
            <w:vAlign w:val="center"/>
          </w:tcPr>
          <w:p>
            <w:pPr>
              <w:widowControl/>
              <w:jc w:val="center"/>
              <w:rPr>
                <w:rFonts w:asciiTheme="minorEastAsia" w:hAnsiTheme="minorEastAsia" w:eastAsiaTheme="minorEastAsia"/>
                <w:sz w:val="24"/>
                <w:szCs w:val="24"/>
              </w:rPr>
            </w:pP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0.62</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9</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食品用塑料袋</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20cm</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2200000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0.015</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10</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食品用塑料袋</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24cm</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2200000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0.022</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11</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食品用塑料袋</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28cm</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350000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0.047</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12</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食品用塑料袋</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40cm</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0.30</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13</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豆浆纸杯</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12盎司 带盖</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0.10</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14</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塑料彩杯</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450ml带盖</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0.12</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15</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一次性竹筷</w:t>
            </w:r>
          </w:p>
        </w:tc>
        <w:tc>
          <w:tcPr>
            <w:tcW w:w="1250" w:type="dxa"/>
            <w:vAlign w:val="center"/>
          </w:tcPr>
          <w:p>
            <w:pPr>
              <w:widowControl/>
              <w:jc w:val="center"/>
              <w:rPr>
                <w:rFonts w:asciiTheme="minorEastAsia" w:hAnsiTheme="minorEastAsia" w:eastAsiaTheme="minorEastAsia"/>
                <w:sz w:val="24"/>
                <w:szCs w:val="24"/>
              </w:rPr>
            </w:pP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双</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1100000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0.026</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16</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一次性手套</w:t>
            </w:r>
          </w:p>
        </w:tc>
        <w:tc>
          <w:tcPr>
            <w:tcW w:w="1250" w:type="dxa"/>
            <w:vAlign w:val="center"/>
          </w:tcPr>
          <w:p>
            <w:pPr>
              <w:widowControl/>
              <w:jc w:val="center"/>
              <w:rPr>
                <w:rFonts w:asciiTheme="minorEastAsia" w:hAnsiTheme="minorEastAsia" w:eastAsiaTheme="minorEastAsia"/>
                <w:sz w:val="24"/>
                <w:szCs w:val="24"/>
              </w:rPr>
            </w:pP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9200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0.05</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17</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粗吸管</w:t>
            </w:r>
          </w:p>
        </w:tc>
        <w:tc>
          <w:tcPr>
            <w:tcW w:w="1250" w:type="dxa"/>
            <w:vAlign w:val="center"/>
          </w:tcPr>
          <w:p>
            <w:pPr>
              <w:widowControl/>
              <w:jc w:val="center"/>
              <w:rPr>
                <w:rFonts w:asciiTheme="minorEastAsia" w:hAnsiTheme="minorEastAsia" w:eastAsiaTheme="minorEastAsia"/>
                <w:sz w:val="24"/>
                <w:szCs w:val="24"/>
              </w:rPr>
            </w:pP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0.025</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18</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细吸管</w:t>
            </w:r>
          </w:p>
        </w:tc>
        <w:tc>
          <w:tcPr>
            <w:tcW w:w="1250" w:type="dxa"/>
            <w:vAlign w:val="center"/>
          </w:tcPr>
          <w:p>
            <w:pPr>
              <w:widowControl/>
              <w:jc w:val="center"/>
              <w:rPr>
                <w:rFonts w:asciiTheme="minorEastAsia" w:hAnsiTheme="minorEastAsia" w:eastAsiaTheme="minorEastAsia"/>
                <w:sz w:val="24"/>
                <w:szCs w:val="24"/>
              </w:rPr>
            </w:pP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550000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0.015</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19</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塑料口罩（好）</w:t>
            </w:r>
          </w:p>
        </w:tc>
        <w:tc>
          <w:tcPr>
            <w:tcW w:w="1250" w:type="dxa"/>
            <w:vAlign w:val="center"/>
          </w:tcPr>
          <w:p>
            <w:pPr>
              <w:widowControl/>
              <w:jc w:val="center"/>
              <w:rPr>
                <w:rFonts w:asciiTheme="minorEastAsia" w:hAnsiTheme="minorEastAsia" w:eastAsiaTheme="minorEastAsia"/>
                <w:sz w:val="24"/>
                <w:szCs w:val="24"/>
              </w:rPr>
            </w:pP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只</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470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2.50</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保鲜膜</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45cm</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卷</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25.00</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21</w:t>
            </w:r>
          </w:p>
        </w:tc>
        <w:tc>
          <w:tcPr>
            <w:tcW w:w="1275"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洗洁净（</w:t>
            </w:r>
            <w:r>
              <w:rPr>
                <w:rFonts w:hint="eastAsia" w:asciiTheme="minorEastAsia" w:hAnsiTheme="minorEastAsia" w:eastAsiaTheme="minorEastAsia"/>
                <w:sz w:val="24"/>
                <w:szCs w:val="24"/>
                <w:highlight w:val="yellow"/>
              </w:rPr>
              <w:t>A类标准）</w:t>
            </w:r>
          </w:p>
        </w:tc>
        <w:tc>
          <w:tcPr>
            <w:tcW w:w="125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10斤/瓶</w:t>
            </w:r>
          </w:p>
        </w:tc>
        <w:tc>
          <w:tcPr>
            <w:tcW w:w="780"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斤</w:t>
            </w:r>
          </w:p>
        </w:tc>
        <w:tc>
          <w:tcPr>
            <w:tcW w:w="1123"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3000</w:t>
            </w:r>
          </w:p>
        </w:tc>
        <w:tc>
          <w:tcPr>
            <w:tcW w:w="1037"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3.00</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852" w:type="dxa"/>
            <w:vAlign w:val="center"/>
          </w:tcPr>
          <w:p>
            <w:pPr>
              <w:autoSpaceDE w:val="0"/>
              <w:autoSpaceDN w:val="0"/>
              <w:adjustRightInd w:val="0"/>
              <w:jc w:val="center"/>
              <w:rPr>
                <w:rFonts w:ascii="宋体" w:hAnsi="Arial" w:cs="宋体"/>
                <w:sz w:val="24"/>
                <w:szCs w:val="24"/>
                <w:highlight w:val="yellow"/>
                <w:lang w:val="zh-CN"/>
              </w:rPr>
            </w:pPr>
            <w:r>
              <w:rPr>
                <w:rFonts w:hint="eastAsia" w:ascii="宋体" w:hAnsi="Arial" w:cs="宋体"/>
                <w:sz w:val="24"/>
                <w:szCs w:val="24"/>
                <w:highlight w:val="yellow"/>
                <w:lang w:val="zh-CN"/>
              </w:rPr>
              <w:t>22</w:t>
            </w:r>
          </w:p>
        </w:tc>
        <w:tc>
          <w:tcPr>
            <w:tcW w:w="1275" w:type="dxa"/>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牛皮纸打包盒</w:t>
            </w:r>
          </w:p>
        </w:tc>
        <w:tc>
          <w:tcPr>
            <w:tcW w:w="1250" w:type="dxa"/>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1100毫升</w:t>
            </w:r>
          </w:p>
        </w:tc>
        <w:tc>
          <w:tcPr>
            <w:tcW w:w="780" w:type="dxa"/>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只</w:t>
            </w:r>
          </w:p>
        </w:tc>
        <w:tc>
          <w:tcPr>
            <w:tcW w:w="1123" w:type="dxa"/>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3000</w:t>
            </w:r>
          </w:p>
        </w:tc>
        <w:tc>
          <w:tcPr>
            <w:tcW w:w="1037" w:type="dxa"/>
            <w:vAlign w:val="center"/>
          </w:tcPr>
          <w:p>
            <w:pPr>
              <w:widowControl/>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0.5</w:t>
            </w:r>
          </w:p>
        </w:tc>
        <w:tc>
          <w:tcPr>
            <w:tcW w:w="904" w:type="dxa"/>
            <w:vAlign w:val="center"/>
          </w:tcPr>
          <w:p>
            <w:pPr>
              <w:widowControl/>
              <w:autoSpaceDE w:val="0"/>
              <w:autoSpaceDN w:val="0"/>
              <w:adjustRightInd w:val="0"/>
              <w:jc w:val="center"/>
              <w:rPr>
                <w:rFonts w:asciiTheme="minorEastAsia" w:hAnsiTheme="minorEastAsia" w:eastAsiaTheme="minorEastAsia"/>
                <w:sz w:val="24"/>
                <w:szCs w:val="24"/>
                <w:highlight w:val="yellow"/>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highlight w:val="yellow"/>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2127" w:type="dxa"/>
            <w:gridSpan w:val="2"/>
            <w:vAlign w:val="center"/>
          </w:tcPr>
          <w:p>
            <w:pPr>
              <w:widowControl/>
              <w:jc w:val="center"/>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合  计</w:t>
            </w:r>
          </w:p>
        </w:tc>
        <w:tc>
          <w:tcPr>
            <w:tcW w:w="1250" w:type="dxa"/>
            <w:vAlign w:val="center"/>
          </w:tcPr>
          <w:p>
            <w:pPr>
              <w:widowControl/>
              <w:jc w:val="center"/>
              <w:rPr>
                <w:rFonts w:asciiTheme="minorEastAsia" w:hAnsiTheme="minorEastAsia" w:eastAsiaTheme="minorEastAsia"/>
                <w:sz w:val="24"/>
                <w:szCs w:val="24"/>
              </w:rPr>
            </w:pPr>
          </w:p>
        </w:tc>
        <w:tc>
          <w:tcPr>
            <w:tcW w:w="780" w:type="dxa"/>
            <w:vAlign w:val="center"/>
          </w:tcPr>
          <w:p>
            <w:pPr>
              <w:widowControl/>
              <w:jc w:val="center"/>
              <w:rPr>
                <w:rFonts w:asciiTheme="minorEastAsia" w:hAnsiTheme="minorEastAsia" w:eastAsiaTheme="minorEastAsia"/>
                <w:sz w:val="24"/>
                <w:szCs w:val="24"/>
              </w:rPr>
            </w:pPr>
          </w:p>
        </w:tc>
        <w:tc>
          <w:tcPr>
            <w:tcW w:w="1123" w:type="dxa"/>
            <w:vAlign w:val="center"/>
          </w:tcPr>
          <w:p>
            <w:pPr>
              <w:widowControl/>
              <w:jc w:val="center"/>
              <w:rPr>
                <w:rFonts w:asciiTheme="minorEastAsia" w:hAnsiTheme="minorEastAsia" w:eastAsiaTheme="minorEastAsia"/>
                <w:sz w:val="24"/>
                <w:szCs w:val="24"/>
              </w:rPr>
            </w:pPr>
          </w:p>
        </w:tc>
        <w:tc>
          <w:tcPr>
            <w:tcW w:w="1037" w:type="dxa"/>
            <w:vAlign w:val="center"/>
          </w:tcPr>
          <w:p>
            <w:pPr>
              <w:widowControl/>
              <w:jc w:val="center"/>
              <w:rPr>
                <w:rFonts w:asciiTheme="minorEastAsia" w:hAnsiTheme="minorEastAsia" w:eastAsiaTheme="minorEastAsia"/>
                <w:sz w:val="24"/>
                <w:szCs w:val="24"/>
              </w:rPr>
            </w:pPr>
          </w:p>
        </w:tc>
        <w:tc>
          <w:tcPr>
            <w:tcW w:w="904"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5" w:type="dxa"/>
            <w:vAlign w:val="center"/>
          </w:tcPr>
          <w:p>
            <w:pPr>
              <w:widowControl/>
              <w:autoSpaceDE w:val="0"/>
              <w:autoSpaceDN w:val="0"/>
              <w:adjustRightInd w:val="0"/>
              <w:jc w:val="center"/>
              <w:rPr>
                <w:rFonts w:asciiTheme="minorEastAsia" w:hAnsiTheme="minorEastAsia" w:eastAsiaTheme="minorEastAsia"/>
                <w:sz w:val="24"/>
                <w:szCs w:val="24"/>
              </w:rPr>
            </w:pPr>
          </w:p>
        </w:tc>
        <w:tc>
          <w:tcPr>
            <w:tcW w:w="1297" w:type="dxa"/>
            <w:vAlign w:val="center"/>
          </w:tcPr>
          <w:p>
            <w:pPr>
              <w:widowControl/>
              <w:autoSpaceDE w:val="0"/>
              <w:autoSpaceDN w:val="0"/>
              <w:adjustRightInd w:val="0"/>
              <w:jc w:val="center"/>
              <w:rPr>
                <w:rFonts w:asciiTheme="minorEastAsia" w:hAnsiTheme="minorEastAsia" w:eastAsiaTheme="minorEastAsia"/>
                <w:sz w:val="24"/>
                <w:szCs w:val="24"/>
              </w:rPr>
            </w:pPr>
          </w:p>
        </w:tc>
      </w:tr>
    </w:tbl>
    <w:p>
      <w:pPr>
        <w:autoSpaceDE w:val="0"/>
        <w:autoSpaceDN w:val="0"/>
        <w:adjustRightInd w:val="0"/>
        <w:spacing w:line="48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1.投标人必须按计量单位、预计采购数量进行报价，投标单价保留小数点后三位，投标总价保留小数点后两位，所有品种必须全部报价，否则为无效标书。</w:t>
      </w:r>
    </w:p>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20</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42</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43</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27D"/>
    <w:rsid w:val="001115AE"/>
    <w:rsid w:val="0011247C"/>
    <w:rsid w:val="00115272"/>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B67E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A7E9B"/>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046BA"/>
    <w:rsid w:val="0041068F"/>
    <w:rsid w:val="00411A03"/>
    <w:rsid w:val="00412B51"/>
    <w:rsid w:val="0041489D"/>
    <w:rsid w:val="004211ED"/>
    <w:rsid w:val="004248BE"/>
    <w:rsid w:val="00424D09"/>
    <w:rsid w:val="004260C7"/>
    <w:rsid w:val="00426D6C"/>
    <w:rsid w:val="004345A8"/>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77C2B"/>
    <w:rsid w:val="00483D5C"/>
    <w:rsid w:val="004841DF"/>
    <w:rsid w:val="00485A55"/>
    <w:rsid w:val="004924AB"/>
    <w:rsid w:val="00495003"/>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1498"/>
    <w:rsid w:val="005D6BFB"/>
    <w:rsid w:val="005D712F"/>
    <w:rsid w:val="005F1BA5"/>
    <w:rsid w:val="005F548A"/>
    <w:rsid w:val="005F5F04"/>
    <w:rsid w:val="005F74E4"/>
    <w:rsid w:val="00600CB3"/>
    <w:rsid w:val="00600DA0"/>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0B06"/>
    <w:rsid w:val="0067142A"/>
    <w:rsid w:val="00676732"/>
    <w:rsid w:val="00682318"/>
    <w:rsid w:val="00684CFC"/>
    <w:rsid w:val="00685CFF"/>
    <w:rsid w:val="00686F0A"/>
    <w:rsid w:val="006870C4"/>
    <w:rsid w:val="00687370"/>
    <w:rsid w:val="006941C4"/>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1C92"/>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5B89"/>
    <w:rsid w:val="00A068FB"/>
    <w:rsid w:val="00A10C9A"/>
    <w:rsid w:val="00A13F23"/>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376F0"/>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963AD"/>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6E19"/>
    <w:rsid w:val="00F87654"/>
    <w:rsid w:val="00F91D78"/>
    <w:rsid w:val="00F923C8"/>
    <w:rsid w:val="00F95090"/>
    <w:rsid w:val="00F965DB"/>
    <w:rsid w:val="00F9691E"/>
    <w:rsid w:val="00FA0BAB"/>
    <w:rsid w:val="00FA6923"/>
    <w:rsid w:val="00FA79A1"/>
    <w:rsid w:val="00FB0A40"/>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F86B1C"/>
    <w:rsid w:val="04784D87"/>
    <w:rsid w:val="060317A8"/>
    <w:rsid w:val="07C35693"/>
    <w:rsid w:val="08BF40AC"/>
    <w:rsid w:val="08CE22D8"/>
    <w:rsid w:val="099A468B"/>
    <w:rsid w:val="0A875C10"/>
    <w:rsid w:val="0AF3628F"/>
    <w:rsid w:val="0B363250"/>
    <w:rsid w:val="0B9C2483"/>
    <w:rsid w:val="0BE36D47"/>
    <w:rsid w:val="0C4C20FB"/>
    <w:rsid w:val="0CD820F1"/>
    <w:rsid w:val="0CE25200"/>
    <w:rsid w:val="0D5E1B07"/>
    <w:rsid w:val="0D660F9A"/>
    <w:rsid w:val="0DE079F5"/>
    <w:rsid w:val="0E545297"/>
    <w:rsid w:val="10516D8F"/>
    <w:rsid w:val="106F56A5"/>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B033229"/>
    <w:rsid w:val="1B5B4C69"/>
    <w:rsid w:val="1CB776FC"/>
    <w:rsid w:val="1EEC2B86"/>
    <w:rsid w:val="1EF651FF"/>
    <w:rsid w:val="1F262338"/>
    <w:rsid w:val="1F550AAE"/>
    <w:rsid w:val="21010D55"/>
    <w:rsid w:val="21D94E59"/>
    <w:rsid w:val="224156DA"/>
    <w:rsid w:val="230230BC"/>
    <w:rsid w:val="23984280"/>
    <w:rsid w:val="253B0B07"/>
    <w:rsid w:val="257449AC"/>
    <w:rsid w:val="2790205B"/>
    <w:rsid w:val="27E86D24"/>
    <w:rsid w:val="288D3427"/>
    <w:rsid w:val="28C54DCD"/>
    <w:rsid w:val="28CE4005"/>
    <w:rsid w:val="29170DC4"/>
    <w:rsid w:val="29F9354B"/>
    <w:rsid w:val="2A73489F"/>
    <w:rsid w:val="2C5C33A3"/>
    <w:rsid w:val="2CE455E0"/>
    <w:rsid w:val="2CF73A01"/>
    <w:rsid w:val="2E1524DD"/>
    <w:rsid w:val="2E6115DE"/>
    <w:rsid w:val="301B0ADB"/>
    <w:rsid w:val="308B2942"/>
    <w:rsid w:val="32285F6F"/>
    <w:rsid w:val="3266677F"/>
    <w:rsid w:val="32ED521C"/>
    <w:rsid w:val="33194D87"/>
    <w:rsid w:val="348F6779"/>
    <w:rsid w:val="36061271"/>
    <w:rsid w:val="360D3DFA"/>
    <w:rsid w:val="36146F36"/>
    <w:rsid w:val="377939F2"/>
    <w:rsid w:val="38AA5930"/>
    <w:rsid w:val="392626C6"/>
    <w:rsid w:val="3943735F"/>
    <w:rsid w:val="39965260"/>
    <w:rsid w:val="3A4D0C68"/>
    <w:rsid w:val="3B003F2D"/>
    <w:rsid w:val="3EA347C1"/>
    <w:rsid w:val="3EBC63BD"/>
    <w:rsid w:val="3EDD5BC4"/>
    <w:rsid w:val="3F051B12"/>
    <w:rsid w:val="40384169"/>
    <w:rsid w:val="409645C0"/>
    <w:rsid w:val="40B04500"/>
    <w:rsid w:val="40CA3013"/>
    <w:rsid w:val="40F736DC"/>
    <w:rsid w:val="427B5168"/>
    <w:rsid w:val="42870A90"/>
    <w:rsid w:val="42C13A9F"/>
    <w:rsid w:val="43076514"/>
    <w:rsid w:val="444F1F4F"/>
    <w:rsid w:val="447F7AC2"/>
    <w:rsid w:val="44A1236F"/>
    <w:rsid w:val="44F22F67"/>
    <w:rsid w:val="456B4496"/>
    <w:rsid w:val="493F377B"/>
    <w:rsid w:val="49AA1C33"/>
    <w:rsid w:val="4AD104B8"/>
    <w:rsid w:val="4B77364D"/>
    <w:rsid w:val="4C9F589F"/>
    <w:rsid w:val="4D1E40A2"/>
    <w:rsid w:val="4D7A546A"/>
    <w:rsid w:val="4DD04FF2"/>
    <w:rsid w:val="4DE01544"/>
    <w:rsid w:val="4E824F2D"/>
    <w:rsid w:val="4F6603AB"/>
    <w:rsid w:val="50B74C36"/>
    <w:rsid w:val="51D27F79"/>
    <w:rsid w:val="52F77B3F"/>
    <w:rsid w:val="53C91DA4"/>
    <w:rsid w:val="54824DEE"/>
    <w:rsid w:val="549A3CCC"/>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B1769FD"/>
    <w:rsid w:val="5BCD355F"/>
    <w:rsid w:val="5BDE751B"/>
    <w:rsid w:val="5C4B03E3"/>
    <w:rsid w:val="5C4C0928"/>
    <w:rsid w:val="5C9D2F32"/>
    <w:rsid w:val="5D630203"/>
    <w:rsid w:val="5D90675D"/>
    <w:rsid w:val="5DBA3C92"/>
    <w:rsid w:val="5E5771CD"/>
    <w:rsid w:val="5E991CA2"/>
    <w:rsid w:val="5F4B3119"/>
    <w:rsid w:val="5FE86BBA"/>
    <w:rsid w:val="61252D89"/>
    <w:rsid w:val="61C0584D"/>
    <w:rsid w:val="64835103"/>
    <w:rsid w:val="64AF414A"/>
    <w:rsid w:val="658E1FB1"/>
    <w:rsid w:val="66B75538"/>
    <w:rsid w:val="678C2521"/>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F100723"/>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A9E45ED"/>
    <w:rsid w:val="7B657E87"/>
    <w:rsid w:val="7BA93AF9"/>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3DA3-E170-4968-899D-D6059D027E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17921</Words>
  <Characters>19314</Characters>
  <Lines>169</Lines>
  <Paragraphs>47</Paragraphs>
  <TotalTime>162</TotalTime>
  <ScaleCrop>false</ScaleCrop>
  <LinksUpToDate>false</LinksUpToDate>
  <CharactersWithSpaces>22206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2024-07-18T06:51:55Z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