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8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ind w:firstLine="640"/>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jc w:val="center"/>
        <w:rPr>
          <w:b/>
          <w:bCs/>
          <w:sz w:val="32"/>
          <w:szCs w:val="32"/>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w:t>
      </w:r>
      <w:r>
        <w:rPr>
          <w:rFonts w:hint="eastAsia" w:ascii="宋体" w:hAnsi="宋体" w:cs="宋体"/>
          <w:b/>
          <w:bCs/>
          <w:sz w:val="36"/>
          <w:szCs w:val="36"/>
          <w:lang w:val="en-US" w:eastAsia="zh-CN"/>
        </w:rPr>
        <w:t>8</w:t>
      </w:r>
      <w:r>
        <w:rPr>
          <w:rFonts w:hint="eastAsia" w:ascii="宋体" w:hAnsi="宋体" w:cs="宋体"/>
          <w:b/>
          <w:bCs/>
          <w:sz w:val="36"/>
          <w:szCs w:val="36"/>
        </w:rPr>
        <w:t>13</w:t>
      </w:r>
    </w:p>
    <w:p>
      <w:pPr>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盐城师范学院2024-2025学年食堂大宗食材</w:t>
      </w:r>
    </w:p>
    <w:p>
      <w:pPr>
        <w:spacing w:line="700" w:lineRule="exact"/>
        <w:ind w:firstLine="3618" w:firstLineChars="1001"/>
        <w:rPr>
          <w:rFonts w:ascii="宋体" w:hAnsi="宋体" w:cs="宋体"/>
          <w:b/>
          <w:bCs/>
          <w:sz w:val="32"/>
          <w:szCs w:val="32"/>
        </w:rPr>
      </w:pPr>
      <w:r>
        <w:rPr>
          <w:rFonts w:hint="eastAsia" w:ascii="宋体" w:hAnsi="宋体" w:cs="宋体"/>
          <w:b/>
          <w:bCs/>
          <w:sz w:val="36"/>
          <w:szCs w:val="36"/>
        </w:rPr>
        <w:t>（大豆油）采购项目</w:t>
      </w: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ind w:firstLine="64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2024年7月</w:t>
      </w:r>
      <w:r>
        <w:rPr>
          <w:rFonts w:ascii="宋体" w:hAnsi="宋体" w:cs="黑体"/>
          <w:b/>
          <w:color w:val="FF0000"/>
          <w:sz w:val="36"/>
          <w:szCs w:val="36"/>
          <w:lang w:val="zh-CN"/>
        </w:rPr>
        <w:t xml:space="preserve"> </w:t>
      </w:r>
    </w:p>
    <w:p>
      <w:pPr>
        <w:pageBreakBefore/>
        <w:autoSpaceDE w:val="0"/>
        <w:autoSpaceDN w:val="0"/>
        <w:adjustRightInd w:val="0"/>
        <w:spacing w:line="800" w:lineRule="exact"/>
        <w:ind w:firstLine="880"/>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22</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24</w:t>
      </w:r>
      <w:r>
        <w:rPr>
          <w:rFonts w:ascii="宋体" w:hAnsi="宋体"/>
          <w:b/>
          <w:sz w:val="30"/>
          <w:szCs w:val="30"/>
        </w:rPr>
        <w:fldChar w:fldCharType="end"/>
      </w:r>
      <w:r>
        <w:rPr>
          <w:rFonts w:ascii="宋体" w:hAnsi="宋体"/>
          <w:b/>
          <w:sz w:val="30"/>
          <w:szCs w:val="30"/>
        </w:rPr>
        <w:fldChar w:fldCharType="end"/>
      </w:r>
    </w:p>
    <w:p>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pPr>
        <w:spacing w:line="800" w:lineRule="exact"/>
        <w:ind w:firstLine="602"/>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ind w:firstLine="880"/>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盐城师范学院2024-2025学年食堂大宗食材（大豆油）采购项目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13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盐城师范学院2024-2025学年食堂大宗食材（大豆油）采购项目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2024年8月26日至2025年8月25日；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日上午8：30-9：00；盐城师范学院新长校区后勤综合楼三楼招标会议室。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2024年8月</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28359008"/>
      <w:bookmarkStart w:id="3" w:name="_Toc35393627"/>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pPr>
        <w:spacing w:line="480" w:lineRule="exact"/>
        <w:ind w:firstLine="5520" w:firstLineChars="2300"/>
        <w:rPr>
          <w:rStyle w:val="41"/>
          <w:rFonts w:ascii="宋体" w:hAnsi="宋体"/>
          <w:sz w:val="24"/>
        </w:rPr>
      </w:pPr>
      <w:r>
        <w:rPr>
          <w:rStyle w:val="41"/>
          <w:rFonts w:hint="eastAsia" w:ascii="宋体" w:hAnsi="宋体"/>
          <w:sz w:val="24"/>
        </w:rPr>
        <w:t>2024年7月15日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ind w:firstLine="880"/>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ind w:firstLine="640"/>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甲乙双方根据盐城师范学院2024-2025学年食堂大宗食材（大豆油）采购项目公开招标的结果，签署本合同。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一、货物名称：一级大豆油</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二、合同期限：2024年8月26日至2025年8月25日。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1.乙方应严格遵守《中华人民共和国食品安全法》及其他法律法规的有关规定，确保所供大豆油质量符合国家相关产品质量标准GB/T 1535-2017，符合国家各级强制性规范的要求，且配送的货物质量不得低于投标时提供的样品质量标准。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4.原包装产品交付时必须保证相关标识等各方面完好无损，否则甲方有权拒收。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5.乙方运输工具进入学校，必须接受学校的统一管理，发生任何人员与设施损伤，均由乙方承担责任。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tbl>
      <w:tblPr>
        <w:tblStyle w:val="1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1280"/>
        <w:gridCol w:w="175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52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280" w:type="dxa"/>
            <w:vAlign w:val="center"/>
          </w:tcPr>
          <w:p>
            <w:pPr>
              <w:jc w:val="center"/>
              <w:rPr>
                <w:rFonts w:ascii="宋体" w:hAnsi="宋体" w:cs="宋体"/>
                <w:sz w:val="24"/>
                <w:szCs w:val="24"/>
              </w:rPr>
            </w:pPr>
            <w:r>
              <w:rPr>
                <w:rFonts w:hint="eastAsia" w:ascii="宋体" w:hAnsi="宋体" w:cs="宋体"/>
                <w:sz w:val="24"/>
                <w:szCs w:val="24"/>
              </w:rPr>
              <w:t>品牌/产地</w:t>
            </w:r>
          </w:p>
        </w:tc>
        <w:tc>
          <w:tcPr>
            <w:tcW w:w="1750" w:type="dxa"/>
            <w:vAlign w:val="center"/>
          </w:tcPr>
          <w:p>
            <w:pPr>
              <w:jc w:val="center"/>
              <w:rPr>
                <w:rFonts w:ascii="宋体" w:hAnsi="宋体" w:cs="宋体"/>
                <w:sz w:val="24"/>
                <w:szCs w:val="24"/>
              </w:rPr>
            </w:pPr>
            <w:r>
              <w:rPr>
                <w:rFonts w:hint="eastAsia" w:ascii="宋体" w:hAnsi="宋体" w:cs="宋体"/>
                <w:sz w:val="24"/>
                <w:szCs w:val="24"/>
              </w:rPr>
              <w:t>规格与包装</w:t>
            </w:r>
          </w:p>
        </w:tc>
        <w:tc>
          <w:tcPr>
            <w:tcW w:w="5103" w:type="dxa"/>
            <w:vAlign w:val="center"/>
          </w:tcPr>
          <w:p>
            <w:pPr>
              <w:adjustRightInd w:val="0"/>
              <w:snapToGrid w:val="0"/>
              <w:jc w:val="center"/>
              <w:rPr>
                <w:rFonts w:ascii="宋体" w:hAnsi="宋体" w:cs="楷体"/>
                <w:sz w:val="24"/>
                <w:szCs w:val="24"/>
              </w:rPr>
            </w:pPr>
            <w:r>
              <w:rPr>
                <w:rFonts w:hint="eastAsia" w:ascii="宋体" w:hAnsi="宋体" w:cs="宋体"/>
                <w:sz w:val="24"/>
                <w:szCs w:val="24"/>
              </w:rPr>
              <w:t>价 格（元/斤）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4" w:hRule="atLeast"/>
          <w:jc w:val="center"/>
        </w:trPr>
        <w:tc>
          <w:tcPr>
            <w:tcW w:w="1527"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宋体"/>
                <w:sz w:val="24"/>
                <w:szCs w:val="24"/>
              </w:rPr>
              <w:t>一级大豆油</w:t>
            </w:r>
          </w:p>
        </w:tc>
        <w:tc>
          <w:tcPr>
            <w:tcW w:w="1280" w:type="dxa"/>
            <w:vAlign w:val="center"/>
          </w:tcPr>
          <w:p>
            <w:pPr>
              <w:adjustRightInd w:val="0"/>
              <w:snapToGrid w:val="0"/>
              <w:jc w:val="center"/>
              <w:rPr>
                <w:rFonts w:ascii="宋体" w:hAnsi="宋体" w:cs="楷体"/>
                <w:sz w:val="24"/>
                <w:szCs w:val="24"/>
              </w:rPr>
            </w:pPr>
          </w:p>
        </w:tc>
        <w:tc>
          <w:tcPr>
            <w:tcW w:w="1750" w:type="dxa"/>
            <w:vAlign w:val="center"/>
          </w:tcPr>
          <w:p>
            <w:pPr>
              <w:adjustRightInd w:val="0"/>
              <w:snapToGrid w:val="0"/>
              <w:jc w:val="center"/>
              <w:rPr>
                <w:rFonts w:ascii="宋体" w:hAnsi="宋体" w:cs="楷体"/>
                <w:sz w:val="24"/>
                <w:szCs w:val="24"/>
              </w:rPr>
            </w:pPr>
            <w:r>
              <w:rPr>
                <w:rFonts w:hint="eastAsia" w:ascii="宋体" w:hAnsi="宋体" w:cs="楷体"/>
                <w:sz w:val="24"/>
                <w:szCs w:val="24"/>
              </w:rPr>
              <w:t>20L/桶</w:t>
            </w:r>
          </w:p>
        </w:tc>
        <w:tc>
          <w:tcPr>
            <w:tcW w:w="5103" w:type="dxa"/>
            <w:vAlign w:val="center"/>
          </w:tcPr>
          <w:p>
            <w:pPr>
              <w:rPr>
                <w:rFonts w:hint="eastAsia" w:ascii="宋体" w:hAnsi="宋体" w:eastAsia="宋体" w:cs="宋体"/>
                <w:sz w:val="24"/>
                <w:szCs w:val="24"/>
                <w:lang w:eastAsia="zh-CN"/>
              </w:rPr>
            </w:pPr>
            <w:r>
              <w:rPr>
                <w:rFonts w:hint="eastAsia" w:ascii="宋体" w:hAnsi="宋体" w:cs="宋体"/>
                <w:sz w:val="24"/>
                <w:szCs w:val="24"/>
              </w:rPr>
              <w:t>1、一级大豆油供货单价的计算方法：以 “中国粮油信息网”上公布的“大连豆油期货”结算价的折算单价（元/斤）为基价，乙方在此基价基础上加价</w:t>
            </w:r>
            <w:r>
              <w:rPr>
                <w:rFonts w:hint="eastAsia" w:ascii="宋体" w:hAnsi="宋体" w:cs="宋体"/>
                <w:sz w:val="24"/>
                <w:szCs w:val="24"/>
                <w:u w:val="single"/>
              </w:rPr>
              <w:t xml:space="preserve">       </w:t>
            </w:r>
            <w:r>
              <w:rPr>
                <w:rFonts w:hint="eastAsia" w:ascii="宋体" w:hAnsi="宋体" w:cs="宋体"/>
                <w:sz w:val="24"/>
                <w:szCs w:val="24"/>
              </w:rPr>
              <w:t>元作为甲方订购本批一级大豆油的供货单价（元/斤）</w:t>
            </w:r>
            <w:r>
              <w:rPr>
                <w:rFonts w:hint="eastAsia" w:ascii="宋体" w:hAnsi="宋体" w:cs="宋体"/>
                <w:sz w:val="24"/>
                <w:szCs w:val="24"/>
                <w:lang w:eastAsia="zh-CN"/>
              </w:rPr>
              <w:t>。</w:t>
            </w:r>
          </w:p>
          <w:p>
            <w:pPr>
              <w:adjustRightInd w:val="0"/>
              <w:snapToGrid w:val="0"/>
              <w:rPr>
                <w:rFonts w:hint="eastAsia" w:ascii="宋体" w:hAnsi="宋体" w:eastAsia="宋体" w:cs="楷体"/>
                <w:sz w:val="24"/>
                <w:szCs w:val="24"/>
                <w:lang w:eastAsia="zh-CN"/>
              </w:rPr>
            </w:pPr>
            <w:r>
              <w:rPr>
                <w:rFonts w:hint="eastAsia" w:ascii="宋体" w:hAnsi="宋体" w:cs="宋体"/>
                <w:sz w:val="24"/>
                <w:szCs w:val="24"/>
              </w:rPr>
              <w:t>2、定价周期</w:t>
            </w:r>
            <w:r>
              <w:rPr>
                <w:rFonts w:hint="eastAsia" w:ascii="宋体" w:hAnsi="宋体" w:cs="宋体"/>
                <w:sz w:val="24"/>
                <w:szCs w:val="24"/>
                <w:lang w:val="en-US" w:eastAsia="zh-CN"/>
              </w:rPr>
              <w:t>为</w:t>
            </w:r>
            <w:r>
              <w:rPr>
                <w:rFonts w:hint="eastAsia" w:ascii="宋体" w:hAnsi="宋体" w:cs="宋体"/>
                <w:sz w:val="24"/>
                <w:szCs w:val="24"/>
              </w:rPr>
              <w:t>1周，每周价格固定</w:t>
            </w:r>
            <w:r>
              <w:rPr>
                <w:rFonts w:hint="eastAsia" w:ascii="宋体" w:hAnsi="宋体" w:cs="宋体"/>
                <w:sz w:val="24"/>
                <w:szCs w:val="24"/>
                <w:lang w:eastAsia="zh-CN"/>
              </w:rPr>
              <w:t>。</w:t>
            </w:r>
            <w:r>
              <w:rPr>
                <w:rFonts w:hint="eastAsia" w:ascii="宋体" w:hAnsi="宋体" w:cs="宋体"/>
                <w:sz w:val="24"/>
                <w:szCs w:val="24"/>
              </w:rPr>
              <w:t>每周一为本周询价、定价日，如遇定价日</w:t>
            </w:r>
            <w:r>
              <w:rPr>
                <w:rFonts w:hint="eastAsia" w:ascii="宋体" w:hAnsi="宋体" w:cs="宋体"/>
                <w:sz w:val="24"/>
                <w:szCs w:val="24"/>
                <w:lang w:val="en-US" w:eastAsia="zh-CN"/>
              </w:rPr>
              <w:t>为法定假日，</w:t>
            </w:r>
            <w:r>
              <w:rPr>
                <w:rFonts w:hint="eastAsia" w:ascii="宋体" w:hAnsi="宋体" w:cs="宋体"/>
                <w:sz w:val="24"/>
                <w:szCs w:val="24"/>
              </w:rPr>
              <w:t>网站未</w:t>
            </w:r>
            <w:r>
              <w:rPr>
                <w:rFonts w:hint="eastAsia" w:ascii="宋体" w:hAnsi="宋体" w:cs="宋体"/>
                <w:sz w:val="24"/>
                <w:szCs w:val="24"/>
                <w:lang w:val="en-US" w:eastAsia="zh-CN"/>
              </w:rPr>
              <w:t>及时</w:t>
            </w:r>
            <w:r>
              <w:rPr>
                <w:rFonts w:hint="eastAsia" w:ascii="宋体" w:hAnsi="宋体" w:cs="宋体"/>
                <w:sz w:val="24"/>
                <w:szCs w:val="24"/>
              </w:rPr>
              <w:t>更新</w:t>
            </w:r>
            <w:r>
              <w:rPr>
                <w:rFonts w:hint="eastAsia" w:ascii="宋体" w:hAnsi="宋体" w:cs="宋体"/>
                <w:sz w:val="24"/>
                <w:szCs w:val="24"/>
                <w:lang w:val="en-US" w:eastAsia="zh-CN"/>
              </w:rPr>
              <w:t>价格</w:t>
            </w:r>
            <w:r>
              <w:rPr>
                <w:rFonts w:hint="eastAsia" w:ascii="宋体" w:hAnsi="宋体" w:cs="宋体"/>
                <w:sz w:val="24"/>
                <w:szCs w:val="24"/>
              </w:rPr>
              <w:t>，则以前一日的价格定价</w:t>
            </w:r>
            <w:r>
              <w:rPr>
                <w:rFonts w:hint="eastAsia" w:ascii="宋体" w:hAnsi="宋体" w:cs="宋体"/>
                <w:sz w:val="24"/>
                <w:szCs w:val="24"/>
                <w:lang w:eastAsia="zh-CN"/>
              </w:rPr>
              <w:t>。</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ind w:firstLine="880"/>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ind w:firstLine="640"/>
        <w:jc w:val="center"/>
        <w:rPr>
          <w:rFonts w:ascii="宋体" w:hAnsi="宋体" w:cs="宋体"/>
          <w:b/>
          <w:sz w:val="32"/>
          <w:szCs w:val="32"/>
        </w:rPr>
      </w:pPr>
    </w:p>
    <w:p>
      <w:pPr>
        <w:spacing w:after="100" w:afterAutospacing="1" w:line="480" w:lineRule="exact"/>
        <w:ind w:firstLine="480"/>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1、采购内容：一级大豆油。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2、预计采购量：200吨。“预计采购量”仅作为投标参考量，不作为合同履约依据，如有政策性扶贫任务，采购量将依据要求减少，最终以招标人实际采购量为准。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大豆油:大豆油国家标准GB/T 1535-2017。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3、投标人所提供的食品、产品必须安全无害，符合国家规定标准。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提交的样品质量、规格、数量（20L/桶）、感官等应符合招标文件的要求，在规定时间密封送达后勤楼三楼招标会议室，清晰注明投标人名称，中标供应商样品由招标人留存作为验收的依据，未中标的供应商样品开标结束后就可自行取回。</w:t>
      </w:r>
    </w:p>
    <w:p>
      <w:pPr>
        <w:spacing w:before="100" w:beforeAutospacing="1" w:after="100" w:afterAutospacing="1" w:line="480" w:lineRule="exact"/>
        <w:ind w:firstLine="480"/>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ind w:firstLine="880"/>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w:t>
            </w:r>
            <w:r>
              <w:rPr>
                <w:rFonts w:hint="eastAsia" w:ascii="宋体" w:hAnsi="宋体"/>
                <w:b/>
                <w:sz w:val="24"/>
                <w:szCs w:val="24"/>
              </w:rPr>
              <w:t>得50分</w:t>
            </w:r>
            <w:r>
              <w:rPr>
                <w:rFonts w:hint="eastAsia" w:ascii="宋体" w:hAnsi="宋体"/>
                <w:sz w:val="24"/>
                <w:szCs w:val="24"/>
              </w:rPr>
              <w:t>，其他投标人的价格分按下列公式计算：投标报价得分＝（评标基准价÷其他投标人投标报价）×50（得分四舍五入后保留小数点后两位）。</w:t>
            </w:r>
          </w:p>
        </w:tc>
      </w:tr>
      <w:tr>
        <w:tblPrEx>
          <w:tblCellMar>
            <w:top w:w="0" w:type="dxa"/>
            <w:left w:w="108" w:type="dxa"/>
            <w:bottom w:w="0" w:type="dxa"/>
            <w:right w:w="108" w:type="dxa"/>
          </w:tblCellMar>
        </w:tblPrEx>
        <w:trPr>
          <w:trHeight w:val="15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一、自2021年6月1日至投标截止日止，投标人具有与本项目内容相匹配的类似项目业绩，每份得2分。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11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二、投标人具有固定仓储仓库用于豆油储存，须提供仓储仓库与投标单位之间关系的产权证明复印件，或提供投标单位租赁仓储仓库合同复印件；提供仓储仓库全景及内景照片。照片和复印件加盖投标人公章。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sz w:val="24"/>
                <w:szCs w:val="24"/>
              </w:rPr>
            </w:pPr>
            <w:r>
              <w:rPr>
                <w:rFonts w:hint="eastAsia" w:ascii="宋体" w:hAnsi="宋体" w:cs="宋体"/>
                <w:color w:val="000000"/>
                <w:kern w:val="0"/>
                <w:sz w:val="24"/>
                <w:szCs w:val="24"/>
                <w:shd w:val="clear" w:color="auto" w:fill="FFFFFF"/>
              </w:rPr>
              <w:t>仓储仓库500平方米（含）以上的得7分，350平方米（含）至499平方米的得5分，200平方米（含）至349平方米的得3分，50平方米（含）至199平方米的得2分，小于50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本项最多得7分。</w:t>
            </w:r>
          </w:p>
        </w:tc>
      </w:tr>
    </w:tbl>
    <w:p/>
    <w:tbl>
      <w:tblPr>
        <w:tblStyle w:val="19"/>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969"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（20分）</w:t>
            </w:r>
          </w:p>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三、投标人有配送车辆，每有一辆得3分，</w:t>
            </w:r>
            <w:r>
              <w:rPr>
                <w:rFonts w:hint="eastAsia" w:ascii="宋体" w:hAnsi="宋体"/>
                <w:b/>
                <w:sz w:val="24"/>
                <w:szCs w:val="24"/>
              </w:rPr>
              <w:t>本项最多得3分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sz w:val="24"/>
                <w:szCs w:val="24"/>
              </w:rPr>
            </w:pPr>
            <w:r>
              <w:rPr>
                <w:rFonts w:hint="eastAsia" w:ascii="宋体" w:hAnsi="宋体"/>
                <w:sz w:val="24"/>
                <w:szCs w:val="24"/>
              </w:rPr>
              <w:t xml:space="preserve">照片和复印件加盖投标人公章。 </w:t>
            </w:r>
          </w:p>
        </w:tc>
      </w:tr>
      <w:tr>
        <w:tblPrEx>
          <w:tblCellMar>
            <w:top w:w="0" w:type="dxa"/>
            <w:left w:w="108" w:type="dxa"/>
            <w:bottom w:w="0" w:type="dxa"/>
            <w:right w:w="108" w:type="dxa"/>
          </w:tblCellMar>
        </w:tblPrEx>
        <w:trPr>
          <w:trHeight w:val="339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评分标准与依据（本项最多得10分）</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r>
        <w:tblPrEx>
          <w:tblCellMar>
            <w:top w:w="0" w:type="dxa"/>
            <w:left w:w="108" w:type="dxa"/>
            <w:bottom w:w="0" w:type="dxa"/>
            <w:right w:w="108" w:type="dxa"/>
          </w:tblCellMar>
        </w:tblPrEx>
        <w:trPr>
          <w:trHeight w:val="267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2.评分标准与依据（本项最多得5分）</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满足以上三项要求得5分，满足以上两项要求得3分，满足一项得1分，其它情况不得分。格式自拟，加盖投标人公章。</w:t>
            </w:r>
          </w:p>
        </w:tc>
      </w:tr>
      <w:tr>
        <w:tblPrEx>
          <w:tblCellMar>
            <w:top w:w="0" w:type="dxa"/>
            <w:left w:w="108" w:type="dxa"/>
            <w:bottom w:w="0" w:type="dxa"/>
            <w:right w:w="108" w:type="dxa"/>
          </w:tblCellMar>
        </w:tblPrEx>
        <w:trPr>
          <w:trHeight w:val="354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根据投标人提供的样品的色泽、香味、透明度、浓稠度等进行综合评价。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2.评分标准与依据（本项最多得15分）</w:t>
            </w:r>
          </w:p>
          <w:p>
            <w:pPr>
              <w:ind w:firstLine="480" w:firstLineChars="200"/>
              <w:rPr>
                <w:rFonts w:ascii="宋体" w:hAnsi="宋体"/>
                <w:sz w:val="24"/>
                <w:szCs w:val="24"/>
              </w:rPr>
            </w:pPr>
            <w:r>
              <w:rPr>
                <w:rFonts w:hint="eastAsia" w:ascii="宋体" w:hAnsi="宋体"/>
                <w:sz w:val="24"/>
                <w:szCs w:val="24"/>
              </w:rPr>
              <w:t>（1）颜色光泽：色泽均匀（3分），色泽较均匀（2分），色泽不均匀或者有大片腹白（1分）；</w:t>
            </w:r>
          </w:p>
          <w:p>
            <w:pPr>
              <w:ind w:firstLine="480" w:firstLineChars="200"/>
              <w:rPr>
                <w:rFonts w:ascii="宋体" w:hAnsi="宋体"/>
                <w:sz w:val="24"/>
                <w:szCs w:val="24"/>
              </w:rPr>
            </w:pPr>
            <w:r>
              <w:rPr>
                <w:rFonts w:hint="eastAsia" w:ascii="宋体" w:hAnsi="宋体"/>
                <w:sz w:val="24"/>
                <w:szCs w:val="24"/>
              </w:rPr>
              <w:t>（2）香味：豆香味好（4分），豆香味较好（3分），有异味（0分）；</w:t>
            </w:r>
          </w:p>
          <w:p>
            <w:pPr>
              <w:ind w:firstLine="480" w:firstLineChars="200"/>
              <w:rPr>
                <w:rFonts w:ascii="宋体" w:hAnsi="宋体"/>
                <w:sz w:val="24"/>
                <w:szCs w:val="24"/>
              </w:rPr>
            </w:pPr>
            <w:r>
              <w:rPr>
                <w:rFonts w:hint="eastAsia" w:ascii="宋体" w:hAnsi="宋体"/>
                <w:sz w:val="24"/>
                <w:szCs w:val="24"/>
              </w:rPr>
              <w:t>（3）透明度：澄清透明度好（4分），透明度较好（3分），透明度不好（1分）</w:t>
            </w:r>
          </w:p>
          <w:p>
            <w:pPr>
              <w:ind w:firstLine="480" w:firstLineChars="200"/>
              <w:rPr>
                <w:rFonts w:ascii="宋体" w:hAnsi="宋体"/>
                <w:sz w:val="24"/>
                <w:szCs w:val="24"/>
              </w:rPr>
            </w:pPr>
            <w:r>
              <w:rPr>
                <w:rFonts w:hint="eastAsia" w:ascii="宋体" w:hAnsi="宋体"/>
                <w:sz w:val="24"/>
                <w:szCs w:val="24"/>
              </w:rPr>
              <w:t>（4）浓稠度：浓稠度好（4分），浓稠度好（3分），浓稠度不好（1分）。</w:t>
            </w:r>
          </w:p>
        </w:tc>
      </w:tr>
    </w:tbl>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ind w:firstLine="1807" w:firstLineChars="500"/>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2"/>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482"/>
        <w:rPr>
          <w:rFonts w:ascii="宋体" w:cs="宋体"/>
          <w:sz w:val="24"/>
          <w:szCs w:val="24"/>
          <w:lang w:val="zh-CN"/>
        </w:rPr>
      </w:pPr>
    </w:p>
    <w:tbl>
      <w:tblPr>
        <w:tblStyle w:val="19"/>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vAlign w:val="center"/>
          </w:tcPr>
          <w:p>
            <w:pPr>
              <w:snapToGrid w:val="0"/>
              <w:rPr>
                <w:rFonts w:ascii="宋体" w:hAnsi="宋体"/>
                <w:b/>
                <w:sz w:val="24"/>
                <w:szCs w:val="21"/>
              </w:rPr>
            </w:pPr>
            <w:r>
              <w:rPr>
                <w:rFonts w:hint="eastAsia" w:ascii="宋体" w:hAnsi="宋体"/>
                <w:b/>
                <w:sz w:val="24"/>
                <w:szCs w:val="21"/>
              </w:rPr>
              <w:t>序号</w:t>
            </w:r>
          </w:p>
        </w:tc>
        <w:tc>
          <w:tcPr>
            <w:tcW w:w="5254" w:type="dxa"/>
            <w:vAlign w:val="center"/>
          </w:tcPr>
          <w:p>
            <w:pPr>
              <w:snapToGrid w:val="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74"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pPr>
              <w:jc w:val="center"/>
              <w:rPr>
                <w:rFonts w:ascii="宋体" w:hAnsi="宋体"/>
                <w:b/>
                <w:sz w:val="24"/>
                <w:szCs w:val="21"/>
              </w:rPr>
            </w:pPr>
          </w:p>
        </w:tc>
        <w:tc>
          <w:tcPr>
            <w:tcW w:w="1515"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rPr>
                <w:rFonts w:ascii="宋体" w:hAnsi="宋体"/>
                <w:bCs/>
                <w:sz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3</w:t>
            </w:r>
          </w:p>
        </w:tc>
        <w:tc>
          <w:tcPr>
            <w:tcW w:w="5254" w:type="dxa"/>
            <w:vAlign w:val="center"/>
          </w:tcPr>
          <w:p>
            <w:pPr>
              <w:snapToGrid w:val="0"/>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pPr>
              <w:jc w:val="center"/>
              <w:rPr>
                <w:rFonts w:ascii="宋体" w:hAnsi="宋体"/>
                <w:sz w:val="24"/>
                <w:szCs w:val="21"/>
              </w:rPr>
            </w:pPr>
            <w:r>
              <w:rPr>
                <w:rFonts w:hint="eastAsia" w:ascii="宋体" w:hAnsi="宋体"/>
                <w:sz w:val="24"/>
                <w:szCs w:val="21"/>
              </w:rPr>
              <w:t>4</w:t>
            </w:r>
          </w:p>
        </w:tc>
        <w:tc>
          <w:tcPr>
            <w:tcW w:w="5254" w:type="dxa"/>
            <w:vAlign w:val="center"/>
          </w:tcPr>
          <w:p>
            <w:pPr>
              <w:rPr>
                <w:rFonts w:ascii="宋体" w:hAnsi="宋体"/>
                <w:iCs/>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1</w:t>
            </w:r>
          </w:p>
        </w:tc>
        <w:tc>
          <w:tcPr>
            <w:tcW w:w="5254" w:type="dxa"/>
            <w:vAlign w:val="center"/>
          </w:tcPr>
          <w:p>
            <w:pPr>
              <w:snapToGrid w:val="0"/>
              <w:jc w:val="center"/>
              <w:rPr>
                <w:rFonts w:ascii="宋体" w:hAnsi="宋体"/>
                <w:iCs/>
                <w:sz w:val="24"/>
                <w:szCs w:val="24"/>
              </w:rPr>
            </w:pPr>
            <w:r>
              <w:rPr>
                <w:rFonts w:hint="eastAsia" w:ascii="宋体" w:hAnsi="宋体"/>
                <w:iCs/>
                <w:sz w:val="24"/>
                <w:szCs w:val="24"/>
              </w:rPr>
              <w:t>法人授权书</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r>
              <w:rPr>
                <w:rFonts w:hint="eastAsia" w:ascii="宋体" w:hAnsi="宋体"/>
                <w:sz w:val="24"/>
                <w:szCs w:val="21"/>
              </w:rPr>
              <w:t>2</w:t>
            </w:r>
          </w:p>
        </w:tc>
        <w:tc>
          <w:tcPr>
            <w:tcW w:w="5254" w:type="dxa"/>
            <w:vAlign w:val="center"/>
          </w:tcPr>
          <w:p>
            <w:pPr>
              <w:snapToGrid w:val="0"/>
              <w:jc w:val="center"/>
              <w:rPr>
                <w:rFonts w:ascii="宋体" w:hAnsi="宋体"/>
                <w:iCs/>
                <w:sz w:val="24"/>
                <w:szCs w:val="24"/>
              </w:rPr>
            </w:pP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pPr>
              <w:jc w:val="center"/>
              <w:rPr>
                <w:rFonts w:ascii="宋体" w:hAnsi="宋体"/>
                <w:sz w:val="24"/>
                <w:szCs w:val="21"/>
              </w:rPr>
            </w:pPr>
          </w:p>
        </w:tc>
        <w:tc>
          <w:tcPr>
            <w:tcW w:w="5254" w:type="dxa"/>
            <w:vAlign w:val="center"/>
          </w:tcPr>
          <w:p>
            <w:pPr>
              <w:snapToGrid w:val="0"/>
              <w:jc w:val="center"/>
              <w:rPr>
                <w:rFonts w:ascii="宋体" w:hAnsi="宋体"/>
                <w:sz w:val="24"/>
                <w:szCs w:val="24"/>
              </w:rPr>
            </w:pPr>
            <w:r>
              <w:rPr>
                <w:rFonts w:hint="eastAsia" w:ascii="宋体" w:hAnsi="宋体"/>
                <w:sz w:val="24"/>
                <w:szCs w:val="24"/>
              </w:rPr>
              <w:t>……</w:t>
            </w:r>
          </w:p>
        </w:tc>
        <w:tc>
          <w:tcPr>
            <w:tcW w:w="1987" w:type="dxa"/>
            <w:vAlign w:val="center"/>
          </w:tcPr>
          <w:p>
            <w:pPr>
              <w:jc w:val="center"/>
              <w:rPr>
                <w:rFonts w:ascii="宋体" w:hAnsi="宋体"/>
                <w:sz w:val="24"/>
                <w:szCs w:val="21"/>
              </w:rPr>
            </w:pPr>
          </w:p>
        </w:tc>
        <w:tc>
          <w:tcPr>
            <w:tcW w:w="1515" w:type="dxa"/>
            <w:vAlign w:val="center"/>
          </w:tcPr>
          <w:p>
            <w:pPr>
              <w:jc w:val="center"/>
              <w:rPr>
                <w:rFonts w:ascii="宋体" w:hAnsi="宋体"/>
                <w:sz w:val="24"/>
                <w:szCs w:val="21"/>
              </w:rPr>
            </w:pPr>
          </w:p>
        </w:tc>
      </w:tr>
    </w:tbl>
    <w:p>
      <w:pPr>
        <w:autoSpaceDE w:val="0"/>
        <w:autoSpaceDN w:val="0"/>
        <w:adjustRightInd w:val="0"/>
        <w:ind w:firstLine="480"/>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482"/>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所供货物必须达到国家相应标准。实际供货时，质量要求要高于或等于提供的样品。</w:t>
            </w:r>
          </w:p>
        </w:tc>
        <w:tc>
          <w:tcPr>
            <w:tcW w:w="1843" w:type="dxa"/>
            <w:vAlign w:val="center"/>
          </w:tcPr>
          <w:p>
            <w:pPr>
              <w:ind w:firstLine="480"/>
              <w:jc w:val="center"/>
              <w:rPr>
                <w:rFonts w:ascii="宋体" w:hAnsi="宋体"/>
                <w:b/>
                <w:sz w:val="24"/>
                <w:szCs w:val="21"/>
              </w:rPr>
            </w:pPr>
          </w:p>
        </w:tc>
        <w:tc>
          <w:tcPr>
            <w:tcW w:w="2787" w:type="dxa"/>
            <w:vAlign w:val="center"/>
          </w:tcPr>
          <w:p>
            <w:pPr>
              <w:ind w:firstLine="48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投标人所提供的食品、产品必须安全无害，符合国家规定标准。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20L/桶）、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82"/>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三、评分索引表</w:t>
      </w:r>
    </w:p>
    <w:p>
      <w:pPr>
        <w:autoSpaceDE w:val="0"/>
        <w:autoSpaceDN w:val="0"/>
        <w:adjustRightInd w:val="0"/>
        <w:spacing w:line="440" w:lineRule="exact"/>
        <w:ind w:firstLine="640"/>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482"/>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ind w:firstLine="48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ind w:firstLine="480"/>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ind w:firstLine="880"/>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ind w:firstLine="480"/>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2"/>
        <w:rPr>
          <w:rFonts w:ascii="宋体" w:cs="宋体"/>
          <w:sz w:val="24"/>
          <w:szCs w:val="24"/>
          <w:lang w:val="zh-CN"/>
        </w:rPr>
      </w:pPr>
    </w:p>
    <w:p>
      <w:pPr>
        <w:tabs>
          <w:tab w:val="left" w:pos="360"/>
        </w:tabs>
        <w:autoSpaceDE w:val="0"/>
        <w:autoSpaceDN w:val="0"/>
        <w:adjustRightInd w:val="0"/>
        <w:spacing w:line="440" w:lineRule="exact"/>
        <w:ind w:firstLine="482"/>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ind w:firstLine="640"/>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ind w:firstLine="643"/>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7126" w:type="dxa"/>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项目投标报价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（投标报价保留小数点后两位）</w:t>
            </w:r>
          </w:p>
        </w:tc>
        <w:tc>
          <w:tcPr>
            <w:tcW w:w="7126" w:type="dxa"/>
            <w:vAlign w:val="center"/>
          </w:tcPr>
          <w:p>
            <w:pPr>
              <w:autoSpaceDE w:val="0"/>
              <w:autoSpaceDN w:val="0"/>
              <w:adjustRightInd w:val="0"/>
              <w:spacing w:line="440" w:lineRule="exact"/>
              <w:ind w:firstLine="480" w:firstLineChars="200"/>
              <w:rPr>
                <w:rFonts w:ascii="宋体" w:hAnsi="Arial" w:cs="宋体"/>
                <w:sz w:val="24"/>
                <w:szCs w:val="24"/>
                <w:lang w:val="zh-CN"/>
              </w:rPr>
            </w:pPr>
            <w:r>
              <w:rPr>
                <w:rFonts w:hint="eastAsia" w:ascii="宋体" w:hAnsi="Arial" w:cs="宋体"/>
                <w:sz w:val="24"/>
                <w:szCs w:val="24"/>
                <w:lang w:val="zh-CN"/>
              </w:rPr>
              <w:t>1、一级大豆油供货单价的计算方法：以 “中国粮油信息网”上公布的“大连豆油期货”结算价的折算单价（元/斤）为基价，在此基价基础上加价￥：</w:t>
            </w:r>
            <w:r>
              <w:rPr>
                <w:rFonts w:hint="eastAsia" w:ascii="宋体" w:hAnsi="Arial" w:cs="宋体"/>
                <w:sz w:val="24"/>
                <w:szCs w:val="24"/>
                <w:u w:val="single"/>
                <w:lang w:val="zh-CN"/>
              </w:rPr>
              <w:t xml:space="preserve">         </w:t>
            </w:r>
            <w:r>
              <w:rPr>
                <w:rFonts w:hint="eastAsia" w:ascii="宋体" w:hAnsi="Arial" w:cs="宋体"/>
                <w:sz w:val="24"/>
                <w:szCs w:val="24"/>
                <w:lang w:val="zh-CN"/>
              </w:rPr>
              <w:t>元（大写：</w:t>
            </w:r>
            <w:r>
              <w:rPr>
                <w:rFonts w:hint="eastAsia" w:ascii="宋体" w:hAnsi="Arial" w:cs="宋体"/>
                <w:sz w:val="24"/>
                <w:szCs w:val="24"/>
                <w:u w:val="single"/>
                <w:lang w:val="zh-CN"/>
              </w:rPr>
              <w:t xml:space="preserve">              </w:t>
            </w:r>
            <w:r>
              <w:rPr>
                <w:rFonts w:hint="eastAsia" w:ascii="宋体" w:hAnsi="Arial" w:cs="宋体"/>
                <w:sz w:val="24"/>
                <w:szCs w:val="24"/>
                <w:lang w:val="zh-CN"/>
              </w:rPr>
              <w:t>）作为招标人订购本批一级大豆油的供货单价（元/斤）。</w:t>
            </w:r>
          </w:p>
          <w:p>
            <w:pPr>
              <w:autoSpaceDE w:val="0"/>
              <w:autoSpaceDN w:val="0"/>
              <w:adjustRightInd w:val="0"/>
              <w:spacing w:line="440" w:lineRule="exact"/>
              <w:ind w:firstLine="480" w:firstLineChars="200"/>
              <w:rPr>
                <w:rFonts w:ascii="宋体" w:hAnsi="Arial" w:cs="宋体"/>
                <w:sz w:val="24"/>
                <w:szCs w:val="24"/>
                <w:lang w:val="zh-CN"/>
              </w:rPr>
            </w:pPr>
            <w:r>
              <w:rPr>
                <w:rFonts w:hint="eastAsia" w:ascii="宋体" w:hAnsi="宋体" w:cs="宋体"/>
                <w:sz w:val="24"/>
                <w:szCs w:val="24"/>
              </w:rPr>
              <w:t>2、定价周期</w:t>
            </w:r>
            <w:r>
              <w:rPr>
                <w:rFonts w:hint="eastAsia" w:ascii="宋体" w:hAnsi="宋体" w:cs="宋体"/>
                <w:sz w:val="24"/>
                <w:szCs w:val="24"/>
                <w:lang w:val="en-US" w:eastAsia="zh-CN"/>
              </w:rPr>
              <w:t>为</w:t>
            </w:r>
            <w:r>
              <w:rPr>
                <w:rFonts w:hint="eastAsia" w:ascii="宋体" w:hAnsi="宋体" w:cs="宋体"/>
                <w:sz w:val="24"/>
                <w:szCs w:val="24"/>
              </w:rPr>
              <w:t>1周，每周价格固定</w:t>
            </w:r>
            <w:r>
              <w:rPr>
                <w:rFonts w:hint="eastAsia" w:ascii="宋体" w:hAnsi="宋体" w:cs="宋体"/>
                <w:sz w:val="24"/>
                <w:szCs w:val="24"/>
                <w:lang w:eastAsia="zh-CN"/>
              </w:rPr>
              <w:t>。</w:t>
            </w:r>
            <w:r>
              <w:rPr>
                <w:rFonts w:hint="eastAsia" w:ascii="宋体" w:hAnsi="宋体" w:cs="宋体"/>
                <w:sz w:val="24"/>
                <w:szCs w:val="24"/>
              </w:rPr>
              <w:t>每周一为本周询价、定价日</w:t>
            </w:r>
            <w:r>
              <w:rPr>
                <w:rFonts w:hint="eastAsia" w:ascii="宋体" w:hAnsi="宋体" w:cs="宋体"/>
                <w:sz w:val="24"/>
                <w:szCs w:val="24"/>
                <w:lang w:eastAsia="zh-CN"/>
              </w:rPr>
              <w:t>。</w:t>
            </w:r>
            <w:r>
              <w:rPr>
                <w:rFonts w:hint="eastAsia" w:ascii="宋体" w:hAnsi="宋体" w:cs="宋体"/>
                <w:sz w:val="24"/>
                <w:szCs w:val="24"/>
              </w:rPr>
              <w:t>如遇定价日</w:t>
            </w:r>
            <w:r>
              <w:rPr>
                <w:rFonts w:hint="eastAsia" w:ascii="宋体" w:hAnsi="宋体" w:cs="宋体"/>
                <w:sz w:val="24"/>
                <w:szCs w:val="24"/>
                <w:lang w:val="en-US" w:eastAsia="zh-CN"/>
              </w:rPr>
              <w:t>为法定假日，</w:t>
            </w:r>
            <w:r>
              <w:rPr>
                <w:rFonts w:hint="eastAsia" w:ascii="宋体" w:hAnsi="宋体" w:cs="宋体"/>
                <w:sz w:val="24"/>
                <w:szCs w:val="24"/>
              </w:rPr>
              <w:t>网站未</w:t>
            </w:r>
            <w:r>
              <w:rPr>
                <w:rFonts w:hint="eastAsia" w:ascii="宋体" w:hAnsi="宋体" w:cs="宋体"/>
                <w:sz w:val="24"/>
                <w:szCs w:val="24"/>
                <w:lang w:val="en-US" w:eastAsia="zh-CN"/>
              </w:rPr>
              <w:t>及时</w:t>
            </w:r>
            <w:r>
              <w:rPr>
                <w:rFonts w:hint="eastAsia" w:ascii="宋体" w:hAnsi="宋体" w:cs="宋体"/>
                <w:sz w:val="24"/>
                <w:szCs w:val="24"/>
              </w:rPr>
              <w:t>更新</w:t>
            </w:r>
            <w:r>
              <w:rPr>
                <w:rFonts w:hint="eastAsia" w:ascii="宋体" w:hAnsi="宋体" w:cs="宋体"/>
                <w:sz w:val="24"/>
                <w:szCs w:val="24"/>
                <w:lang w:val="en-US" w:eastAsia="zh-CN"/>
              </w:rPr>
              <w:t>价格</w:t>
            </w:r>
            <w:r>
              <w:rPr>
                <w:rFonts w:hint="eastAsia" w:ascii="宋体" w:hAnsi="宋体" w:cs="宋体"/>
                <w:sz w:val="24"/>
                <w:szCs w:val="24"/>
              </w:rPr>
              <w:t>，则以前一日的价格定价</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3" w:hRule="atLeast"/>
          <w:jc w:val="center"/>
        </w:trPr>
        <w:tc>
          <w:tcPr>
            <w:tcW w:w="2542" w:type="dxa"/>
            <w:vAlign w:val="center"/>
          </w:tcPr>
          <w:p>
            <w:pPr>
              <w:autoSpaceDE w:val="0"/>
              <w:autoSpaceDN w:val="0"/>
              <w:adjustRightInd w:val="0"/>
              <w:spacing w:line="420" w:lineRule="exact"/>
              <w:jc w:val="center"/>
              <w:rPr>
                <w:rFonts w:ascii="宋体" w:hAnsi="宋体"/>
                <w:sz w:val="24"/>
                <w:szCs w:val="24"/>
              </w:rPr>
            </w:pPr>
            <w:r>
              <w:rPr>
                <w:rFonts w:hint="eastAsia" w:ascii="宋体" w:hAnsi="Arial" w:cs="宋体"/>
                <w:bCs/>
                <w:sz w:val="24"/>
                <w:szCs w:val="24"/>
                <w:lang w:val="zh-CN"/>
              </w:rPr>
              <w:t>核心产品品牌</w:t>
            </w:r>
          </w:p>
        </w:tc>
        <w:tc>
          <w:tcPr>
            <w:tcW w:w="7126" w:type="dxa"/>
            <w:vAlign w:val="center"/>
          </w:tcPr>
          <w:p>
            <w:pPr>
              <w:autoSpaceDE w:val="0"/>
              <w:autoSpaceDN w:val="0"/>
              <w:adjustRightInd w:val="0"/>
              <w:spacing w:line="44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2"/>
        <w:rPr>
          <w:rFonts w:ascii="宋体" w:hAnsi="Arial" w:cs="宋体"/>
          <w:sz w:val="24"/>
          <w:szCs w:val="24"/>
          <w:lang w:val="zh-CN"/>
        </w:rPr>
      </w:pPr>
    </w:p>
    <w:p>
      <w:pPr>
        <w:autoSpaceDE w:val="0"/>
        <w:autoSpaceDN w:val="0"/>
        <w:adjustRightInd w:val="0"/>
        <w:spacing w:line="440" w:lineRule="exact"/>
        <w:ind w:firstLine="482"/>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pPr>
        <w:spacing w:line="440" w:lineRule="exact"/>
        <w:ind w:firstLine="480" w:firstLineChars="200"/>
        <w:jc w:val="left"/>
        <w:rPr>
          <w:rFonts w:ascii="宋体" w:hAnsi="宋体" w:cs="宋体"/>
          <w:kern w:val="0"/>
          <w:sz w:val="24"/>
          <w:szCs w:val="24"/>
        </w:rPr>
      </w:pPr>
    </w:p>
    <w:tbl>
      <w:tblPr>
        <w:tblStyle w:val="19"/>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1287"/>
        <w:gridCol w:w="1312"/>
        <w:gridCol w:w="428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233"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1287" w:type="dxa"/>
            <w:vAlign w:val="center"/>
          </w:tcPr>
          <w:p>
            <w:pPr>
              <w:jc w:val="center"/>
              <w:rPr>
                <w:rFonts w:ascii="宋体" w:hAnsi="宋体" w:cs="宋体"/>
                <w:sz w:val="24"/>
                <w:szCs w:val="24"/>
              </w:rPr>
            </w:pPr>
            <w:r>
              <w:rPr>
                <w:rFonts w:hint="eastAsia" w:ascii="宋体" w:hAnsi="宋体" w:cs="宋体"/>
                <w:sz w:val="24"/>
                <w:szCs w:val="24"/>
              </w:rPr>
              <w:t>品牌/产地</w:t>
            </w:r>
          </w:p>
        </w:tc>
        <w:tc>
          <w:tcPr>
            <w:tcW w:w="1312" w:type="dxa"/>
            <w:vAlign w:val="center"/>
          </w:tcPr>
          <w:p>
            <w:pPr>
              <w:jc w:val="center"/>
              <w:rPr>
                <w:rFonts w:ascii="宋体" w:hAnsi="宋体" w:cs="宋体"/>
                <w:sz w:val="24"/>
                <w:szCs w:val="24"/>
              </w:rPr>
            </w:pPr>
            <w:r>
              <w:rPr>
                <w:rFonts w:hint="eastAsia" w:ascii="宋体" w:hAnsi="宋体" w:cs="宋体"/>
                <w:sz w:val="24"/>
                <w:szCs w:val="24"/>
              </w:rPr>
              <w:t>规格与包装</w:t>
            </w:r>
          </w:p>
        </w:tc>
        <w:tc>
          <w:tcPr>
            <w:tcW w:w="4281" w:type="dxa"/>
            <w:vAlign w:val="center"/>
          </w:tcPr>
          <w:p>
            <w:pPr>
              <w:adjustRightInd w:val="0"/>
              <w:snapToGrid w:val="0"/>
              <w:jc w:val="center"/>
              <w:rPr>
                <w:rFonts w:ascii="宋体" w:hAnsi="宋体" w:cs="楷体"/>
                <w:sz w:val="24"/>
                <w:szCs w:val="24"/>
              </w:rPr>
            </w:pPr>
            <w:r>
              <w:rPr>
                <w:rFonts w:hint="eastAsia" w:ascii="宋体" w:hAnsi="宋体" w:cs="宋体"/>
                <w:sz w:val="24"/>
                <w:szCs w:val="24"/>
              </w:rPr>
              <w:t>最高投标限价（元/斤）</w:t>
            </w:r>
          </w:p>
        </w:tc>
        <w:tc>
          <w:tcPr>
            <w:tcW w:w="1641" w:type="dxa"/>
          </w:tcPr>
          <w:p>
            <w:pPr>
              <w:adjustRightInd w:val="0"/>
              <w:snapToGrid w:val="0"/>
              <w:jc w:val="center"/>
              <w:rPr>
                <w:rFonts w:ascii="宋体" w:hAnsi="宋体" w:cs="宋体"/>
                <w:sz w:val="24"/>
                <w:szCs w:val="24"/>
              </w:rPr>
            </w:pPr>
            <w:r>
              <w:rPr>
                <w:rFonts w:hint="eastAsia" w:ascii="宋体" w:hAnsi="宋体" w:cs="宋体"/>
                <w:sz w:val="24"/>
                <w:szCs w:val="24"/>
              </w:rPr>
              <w:t>投标报价</w:t>
            </w:r>
          </w:p>
          <w:p>
            <w:pPr>
              <w:adjustRightInd w:val="0"/>
              <w:snapToGrid w:val="0"/>
              <w:jc w:val="center"/>
              <w:rPr>
                <w:rFonts w:ascii="宋体" w:hAnsi="宋体" w:cs="宋体"/>
                <w:sz w:val="24"/>
                <w:szCs w:val="24"/>
              </w:rPr>
            </w:pPr>
            <w:r>
              <w:rPr>
                <w:rFonts w:hint="eastAsia" w:ascii="宋体" w:hAnsi="宋体" w:cs="宋体"/>
                <w:sz w:val="24"/>
                <w:szCs w:val="24"/>
              </w:rPr>
              <w:t>（元/斤）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7" w:hRule="atLeast"/>
          <w:jc w:val="center"/>
        </w:trPr>
        <w:tc>
          <w:tcPr>
            <w:tcW w:w="1233" w:type="dxa"/>
            <w:tcMar>
              <w:top w:w="15" w:type="dxa"/>
              <w:left w:w="15" w:type="dxa"/>
              <w:bottom w:w="0" w:type="dxa"/>
              <w:right w:w="15" w:type="dxa"/>
            </w:tcMar>
            <w:vAlign w:val="center"/>
          </w:tcPr>
          <w:p>
            <w:pPr>
              <w:adjustRightInd w:val="0"/>
              <w:snapToGrid w:val="0"/>
              <w:jc w:val="center"/>
              <w:rPr>
                <w:rFonts w:ascii="宋体" w:hAnsi="宋体" w:cs="楷体"/>
                <w:sz w:val="24"/>
                <w:szCs w:val="24"/>
              </w:rPr>
            </w:pPr>
            <w:r>
              <w:rPr>
                <w:rFonts w:hint="eastAsia" w:ascii="宋体" w:hAnsi="宋体" w:cs="宋体"/>
                <w:sz w:val="24"/>
                <w:szCs w:val="24"/>
              </w:rPr>
              <w:t>一级大豆油</w:t>
            </w:r>
          </w:p>
        </w:tc>
        <w:tc>
          <w:tcPr>
            <w:tcW w:w="1287" w:type="dxa"/>
            <w:vAlign w:val="center"/>
          </w:tcPr>
          <w:p>
            <w:pPr>
              <w:adjustRightInd w:val="0"/>
              <w:snapToGrid w:val="0"/>
              <w:jc w:val="center"/>
              <w:rPr>
                <w:rFonts w:ascii="宋体" w:hAnsi="宋体" w:cs="楷体"/>
                <w:sz w:val="24"/>
                <w:szCs w:val="24"/>
              </w:rPr>
            </w:pPr>
          </w:p>
        </w:tc>
        <w:tc>
          <w:tcPr>
            <w:tcW w:w="1312" w:type="dxa"/>
            <w:vAlign w:val="center"/>
          </w:tcPr>
          <w:p>
            <w:pPr>
              <w:adjustRightInd w:val="0"/>
              <w:snapToGrid w:val="0"/>
              <w:jc w:val="center"/>
              <w:rPr>
                <w:rFonts w:ascii="宋体" w:hAnsi="宋体" w:cs="楷体"/>
                <w:sz w:val="24"/>
                <w:szCs w:val="24"/>
              </w:rPr>
            </w:pPr>
            <w:r>
              <w:rPr>
                <w:rFonts w:hint="eastAsia" w:ascii="宋体" w:hAnsi="宋体" w:cs="楷体"/>
                <w:sz w:val="24"/>
                <w:szCs w:val="24"/>
              </w:rPr>
              <w:t>20L/桶</w:t>
            </w:r>
          </w:p>
        </w:tc>
        <w:tc>
          <w:tcPr>
            <w:tcW w:w="4281"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Arial" w:cs="宋体"/>
                <w:sz w:val="24"/>
                <w:szCs w:val="24"/>
                <w:lang w:val="zh-CN"/>
              </w:rPr>
              <w:t>以 “中国粮油信息网”上公布的“大连豆油期货”结算价的折算单价（元/斤）为基价，</w:t>
            </w:r>
            <w:r>
              <w:rPr>
                <w:rFonts w:hint="eastAsia" w:ascii="宋体" w:hAnsi="宋体" w:cs="宋体"/>
                <w:sz w:val="24"/>
                <w:szCs w:val="24"/>
              </w:rPr>
              <w:t>在此基价基础上加价作为订购本批一级大豆油的供货单价（元/斤），</w:t>
            </w:r>
            <w:r>
              <w:rPr>
                <w:rFonts w:hint="eastAsia" w:ascii="宋体" w:hAnsi="宋体" w:cs="宋体"/>
                <w:b/>
                <w:sz w:val="24"/>
                <w:szCs w:val="24"/>
              </w:rPr>
              <w:t>加价部分最高投标限价为0.95元/斤</w:t>
            </w:r>
            <w:r>
              <w:rPr>
                <w:rFonts w:hint="eastAsia" w:ascii="宋体" w:hAnsi="宋体" w:cs="宋体"/>
                <w:sz w:val="24"/>
                <w:szCs w:val="24"/>
              </w:rPr>
              <w:t>；</w:t>
            </w:r>
            <w:bookmarkStart w:id="41" w:name="_GoBack"/>
            <w:bookmarkEnd w:id="41"/>
          </w:p>
          <w:p>
            <w:pPr>
              <w:adjustRightInd w:val="0"/>
              <w:snapToGrid w:val="0"/>
              <w:spacing w:line="360" w:lineRule="exact"/>
              <w:ind w:firstLine="480" w:firstLineChars="200"/>
              <w:rPr>
                <w:rFonts w:ascii="宋体" w:hAnsi="宋体" w:cs="楷体"/>
                <w:sz w:val="24"/>
                <w:szCs w:val="24"/>
              </w:rPr>
            </w:pPr>
            <w:r>
              <w:rPr>
                <w:rFonts w:hint="eastAsia" w:ascii="宋体" w:hAnsi="宋体" w:cs="宋体"/>
                <w:sz w:val="24"/>
                <w:szCs w:val="24"/>
              </w:rPr>
              <w:t>2、定价周期</w:t>
            </w:r>
            <w:r>
              <w:rPr>
                <w:rFonts w:hint="eastAsia" w:ascii="宋体" w:hAnsi="宋体" w:cs="宋体"/>
                <w:sz w:val="24"/>
                <w:szCs w:val="24"/>
                <w:lang w:val="en-US" w:eastAsia="zh-CN"/>
              </w:rPr>
              <w:t>为</w:t>
            </w:r>
            <w:r>
              <w:rPr>
                <w:rFonts w:hint="eastAsia" w:ascii="宋体" w:hAnsi="宋体" w:cs="宋体"/>
                <w:sz w:val="24"/>
                <w:szCs w:val="24"/>
              </w:rPr>
              <w:t>1周，每周价格固定</w:t>
            </w:r>
            <w:r>
              <w:rPr>
                <w:rFonts w:hint="eastAsia" w:ascii="宋体" w:hAnsi="宋体" w:cs="宋体"/>
                <w:sz w:val="24"/>
                <w:szCs w:val="24"/>
                <w:lang w:eastAsia="zh-CN"/>
              </w:rPr>
              <w:t>。</w:t>
            </w:r>
            <w:r>
              <w:rPr>
                <w:rFonts w:hint="eastAsia" w:ascii="宋体" w:hAnsi="宋体" w:cs="宋体"/>
                <w:sz w:val="24"/>
                <w:szCs w:val="24"/>
              </w:rPr>
              <w:t>每周一为本周询价、定价日</w:t>
            </w:r>
            <w:r>
              <w:rPr>
                <w:rFonts w:hint="eastAsia" w:ascii="宋体" w:hAnsi="宋体" w:cs="宋体"/>
                <w:sz w:val="24"/>
                <w:szCs w:val="24"/>
                <w:lang w:eastAsia="zh-CN"/>
              </w:rPr>
              <w:t>。</w:t>
            </w:r>
            <w:r>
              <w:rPr>
                <w:rFonts w:hint="eastAsia" w:ascii="宋体" w:hAnsi="宋体" w:cs="宋体"/>
                <w:sz w:val="24"/>
                <w:szCs w:val="24"/>
              </w:rPr>
              <w:t>如遇定价日</w:t>
            </w:r>
            <w:r>
              <w:rPr>
                <w:rFonts w:hint="eastAsia" w:ascii="宋体" w:hAnsi="宋体" w:cs="宋体"/>
                <w:sz w:val="24"/>
                <w:szCs w:val="24"/>
                <w:lang w:val="en-US" w:eastAsia="zh-CN"/>
              </w:rPr>
              <w:t>为法定假日，</w:t>
            </w:r>
            <w:r>
              <w:rPr>
                <w:rFonts w:hint="eastAsia" w:ascii="宋体" w:hAnsi="宋体" w:cs="宋体"/>
                <w:sz w:val="24"/>
                <w:szCs w:val="24"/>
              </w:rPr>
              <w:t>网站未</w:t>
            </w:r>
            <w:r>
              <w:rPr>
                <w:rFonts w:hint="eastAsia" w:ascii="宋体" w:hAnsi="宋体" w:cs="宋体"/>
                <w:sz w:val="24"/>
                <w:szCs w:val="24"/>
                <w:lang w:val="en-US" w:eastAsia="zh-CN"/>
              </w:rPr>
              <w:t>及时</w:t>
            </w:r>
            <w:r>
              <w:rPr>
                <w:rFonts w:hint="eastAsia" w:ascii="宋体" w:hAnsi="宋体" w:cs="宋体"/>
                <w:sz w:val="24"/>
                <w:szCs w:val="24"/>
              </w:rPr>
              <w:t>更新</w:t>
            </w:r>
            <w:r>
              <w:rPr>
                <w:rFonts w:hint="eastAsia" w:ascii="宋体" w:hAnsi="宋体" w:cs="宋体"/>
                <w:sz w:val="24"/>
                <w:szCs w:val="24"/>
                <w:lang w:val="en-US" w:eastAsia="zh-CN"/>
              </w:rPr>
              <w:t>价格</w:t>
            </w:r>
            <w:r>
              <w:rPr>
                <w:rFonts w:hint="eastAsia" w:ascii="宋体" w:hAnsi="宋体" w:cs="宋体"/>
                <w:sz w:val="24"/>
                <w:szCs w:val="24"/>
              </w:rPr>
              <w:t>，则以前一日的价格定价</w:t>
            </w:r>
            <w:r>
              <w:rPr>
                <w:rFonts w:hint="eastAsia" w:ascii="宋体" w:hAnsi="宋体" w:cs="宋体"/>
                <w:sz w:val="24"/>
                <w:szCs w:val="24"/>
                <w:lang w:eastAsia="zh-CN"/>
              </w:rPr>
              <w:t>。</w:t>
            </w:r>
          </w:p>
        </w:tc>
        <w:tc>
          <w:tcPr>
            <w:tcW w:w="1641" w:type="dxa"/>
            <w:vAlign w:val="center"/>
          </w:tcPr>
          <w:p>
            <w:pPr>
              <w:jc w:val="center"/>
              <w:rPr>
                <w:rFonts w:ascii="宋体" w:hAnsi="宋体" w:cs="宋体"/>
                <w:sz w:val="24"/>
                <w:szCs w:val="24"/>
              </w:rPr>
            </w:pPr>
          </w:p>
        </w:tc>
      </w:tr>
    </w:tbl>
    <w:p>
      <w:pPr>
        <w:spacing w:line="440" w:lineRule="exact"/>
        <w:jc w:val="left"/>
        <w:rPr>
          <w:rFonts w:ascii="宋体" w:hAnsi="宋体"/>
          <w:sz w:val="24"/>
          <w:szCs w:val="24"/>
        </w:rPr>
      </w:pPr>
      <w:r>
        <w:rPr>
          <w:rFonts w:hint="eastAsia" w:ascii="宋体" w:hAnsi="宋体" w:cs="宋体"/>
          <w:kern w:val="0"/>
          <w:sz w:val="24"/>
          <w:szCs w:val="24"/>
        </w:rPr>
        <w:t>注：1、</w:t>
      </w:r>
      <w:r>
        <w:rPr>
          <w:rFonts w:hint="eastAsia" w:ascii="宋体" w:hAnsi="宋体"/>
          <w:sz w:val="24"/>
          <w:szCs w:val="24"/>
        </w:rPr>
        <w:t>投标报价仅对加价部分进行报价，保留小数点后两位。</w:t>
      </w:r>
    </w:p>
    <w:p>
      <w:pPr>
        <w:spacing w:line="440" w:lineRule="exact"/>
        <w:ind w:firstLine="480"/>
        <w:jc w:val="left"/>
        <w:rPr>
          <w:rFonts w:ascii="宋体" w:hAnsi="宋体" w:cs="楷体"/>
          <w:sz w:val="24"/>
          <w:szCs w:val="24"/>
        </w:rPr>
      </w:pPr>
      <w:r>
        <w:rPr>
          <w:rFonts w:hint="eastAsia" w:ascii="宋体" w:hAnsi="宋体"/>
          <w:sz w:val="24"/>
          <w:szCs w:val="24"/>
        </w:rPr>
        <w:t>2、</w:t>
      </w:r>
      <w:r>
        <w:rPr>
          <w:rFonts w:hint="eastAsia" w:ascii="宋体" w:hAnsi="宋体" w:cs="楷体"/>
          <w:sz w:val="24"/>
          <w:szCs w:val="24"/>
        </w:rPr>
        <w:t>投标人报价不得高于最高限价，否则为无效标书。</w:t>
      </w:r>
    </w:p>
    <w:p>
      <w:pPr>
        <w:spacing w:line="440" w:lineRule="exact"/>
        <w:ind w:firstLine="480"/>
        <w:jc w:val="left"/>
        <w:rPr>
          <w:rFonts w:ascii="宋体" w:hAnsi="宋体" w:cs="宋体"/>
          <w:kern w:val="0"/>
          <w:sz w:val="24"/>
          <w:szCs w:val="24"/>
        </w:rPr>
      </w:pPr>
      <w:r>
        <w:rPr>
          <w:rFonts w:hint="eastAsia" w:ascii="宋体" w:hAnsi="宋体" w:cs="楷体"/>
          <w:sz w:val="24"/>
          <w:szCs w:val="24"/>
        </w:rPr>
        <w:t>3、投标报价（即加价部分金额）供货期内不得调整。</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10"/>
        <w:spacing w:after="100" w:afterAutospacing="1" w:line="700" w:lineRule="exact"/>
        <w:ind w:left="0" w:leftChars="0" w:firstLine="480"/>
        <w:jc w:val="center"/>
        <w:rPr>
          <w:rFonts w:ascii="宋体" w:hAnsi="宋体" w:cs="楷体"/>
          <w:b/>
          <w:bCs/>
          <w:sz w:val="28"/>
          <w:szCs w:val="28"/>
        </w:rPr>
      </w:pPr>
      <w:r>
        <w:rPr>
          <w:rFonts w:ascii="宋体" w:hAnsi="Arial"/>
          <w:sz w:val="24"/>
          <w:lang w:val="zh-CN"/>
        </w:rPr>
        <w:br w:type="page"/>
      </w:r>
    </w:p>
    <w:p>
      <w:pPr>
        <w:pageBreakBefore/>
        <w:autoSpaceDE w:val="0"/>
        <w:autoSpaceDN w:val="0"/>
        <w:adjustRightInd w:val="0"/>
        <w:spacing w:before="50" w:after="50"/>
        <w:ind w:firstLine="64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firstLine="640"/>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ind w:firstLine="480"/>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17</w:t>
    </w:r>
    <w:r>
      <w:rPr>
        <w:rFonts w:ascii="宋体" w:hAns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40</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1"/>
      <w:jc w:val="center"/>
    </w:pPr>
    <w:r>
      <w:fldChar w:fldCharType="begin"/>
    </w:r>
    <w:r>
      <w:instrText xml:space="preserve"> PAGE   \* MERGEFORMAT </w:instrText>
    </w:r>
    <w:r>
      <w:fldChar w:fldCharType="separate"/>
    </w:r>
    <w:r>
      <w:rPr>
        <w:lang w:val="zh-CN"/>
      </w:rPr>
      <w:t>41</w:t>
    </w:r>
    <w:r>
      <w:fldChar w:fldCharType="end"/>
    </w:r>
  </w:p>
  <w:p>
    <w:pPr>
      <w:pStyle w:val="14"/>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0D53"/>
    <w:rsid w:val="0003160E"/>
    <w:rsid w:val="00032085"/>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4222"/>
    <w:rsid w:val="00104AF6"/>
    <w:rsid w:val="001115AE"/>
    <w:rsid w:val="0011247C"/>
    <w:rsid w:val="00115EC4"/>
    <w:rsid w:val="001160D6"/>
    <w:rsid w:val="00116771"/>
    <w:rsid w:val="00123176"/>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1BDF"/>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8D4"/>
    <w:rsid w:val="002249D0"/>
    <w:rsid w:val="00224C88"/>
    <w:rsid w:val="00225D93"/>
    <w:rsid w:val="00231182"/>
    <w:rsid w:val="00240F98"/>
    <w:rsid w:val="00243544"/>
    <w:rsid w:val="002479F9"/>
    <w:rsid w:val="00251C34"/>
    <w:rsid w:val="00252E6A"/>
    <w:rsid w:val="00254964"/>
    <w:rsid w:val="00260C02"/>
    <w:rsid w:val="00262C0D"/>
    <w:rsid w:val="00271071"/>
    <w:rsid w:val="002754B4"/>
    <w:rsid w:val="00277172"/>
    <w:rsid w:val="0028242E"/>
    <w:rsid w:val="002837C7"/>
    <w:rsid w:val="00283FCB"/>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1B26"/>
    <w:rsid w:val="002C290D"/>
    <w:rsid w:val="002C672B"/>
    <w:rsid w:val="002D422D"/>
    <w:rsid w:val="002D73D7"/>
    <w:rsid w:val="002D797B"/>
    <w:rsid w:val="002E00AD"/>
    <w:rsid w:val="002E01E9"/>
    <w:rsid w:val="002E07BB"/>
    <w:rsid w:val="002E09A3"/>
    <w:rsid w:val="002E0C70"/>
    <w:rsid w:val="002E6934"/>
    <w:rsid w:val="002F0157"/>
    <w:rsid w:val="002F1E6A"/>
    <w:rsid w:val="002F2B50"/>
    <w:rsid w:val="002F2E5B"/>
    <w:rsid w:val="002F2E6E"/>
    <w:rsid w:val="002F6AD1"/>
    <w:rsid w:val="002F6B50"/>
    <w:rsid w:val="003024FB"/>
    <w:rsid w:val="00311FC0"/>
    <w:rsid w:val="00313D5B"/>
    <w:rsid w:val="0031794F"/>
    <w:rsid w:val="00320147"/>
    <w:rsid w:val="00326C92"/>
    <w:rsid w:val="00327058"/>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5E12"/>
    <w:rsid w:val="00375F58"/>
    <w:rsid w:val="00380C41"/>
    <w:rsid w:val="003820DE"/>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25E3B"/>
    <w:rsid w:val="0053054F"/>
    <w:rsid w:val="005320A6"/>
    <w:rsid w:val="00533C25"/>
    <w:rsid w:val="00534351"/>
    <w:rsid w:val="00534667"/>
    <w:rsid w:val="00535815"/>
    <w:rsid w:val="00535E7A"/>
    <w:rsid w:val="00540408"/>
    <w:rsid w:val="005426D0"/>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1D85"/>
    <w:rsid w:val="005C2B74"/>
    <w:rsid w:val="005C3617"/>
    <w:rsid w:val="005C663B"/>
    <w:rsid w:val="005C6C07"/>
    <w:rsid w:val="005D6BFB"/>
    <w:rsid w:val="005D712F"/>
    <w:rsid w:val="005F1BA5"/>
    <w:rsid w:val="005F548A"/>
    <w:rsid w:val="005F5D38"/>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27F5C"/>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195B"/>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187E"/>
    <w:rsid w:val="00732E17"/>
    <w:rsid w:val="0073326E"/>
    <w:rsid w:val="007346FA"/>
    <w:rsid w:val="00737F20"/>
    <w:rsid w:val="00745D7D"/>
    <w:rsid w:val="007513D2"/>
    <w:rsid w:val="00752D56"/>
    <w:rsid w:val="00752E5E"/>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2235"/>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22DD"/>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9F66D4"/>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36AE8"/>
    <w:rsid w:val="00B41AC9"/>
    <w:rsid w:val="00B42D2B"/>
    <w:rsid w:val="00B445A7"/>
    <w:rsid w:val="00B473EE"/>
    <w:rsid w:val="00B47595"/>
    <w:rsid w:val="00B47E0A"/>
    <w:rsid w:val="00B51602"/>
    <w:rsid w:val="00B5259C"/>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13772"/>
    <w:rsid w:val="00C2066A"/>
    <w:rsid w:val="00C20A88"/>
    <w:rsid w:val="00C21A52"/>
    <w:rsid w:val="00C220E0"/>
    <w:rsid w:val="00C22FD6"/>
    <w:rsid w:val="00C241D2"/>
    <w:rsid w:val="00C249EC"/>
    <w:rsid w:val="00C25BC8"/>
    <w:rsid w:val="00C260AB"/>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8EE"/>
    <w:rsid w:val="00D92F26"/>
    <w:rsid w:val="00D9490B"/>
    <w:rsid w:val="00D94E49"/>
    <w:rsid w:val="00D94E5E"/>
    <w:rsid w:val="00D94EFF"/>
    <w:rsid w:val="00D96938"/>
    <w:rsid w:val="00DA01F2"/>
    <w:rsid w:val="00DA2A8C"/>
    <w:rsid w:val="00DA483C"/>
    <w:rsid w:val="00DA6354"/>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76851"/>
    <w:rsid w:val="00E8060E"/>
    <w:rsid w:val="00E8680D"/>
    <w:rsid w:val="00E9021B"/>
    <w:rsid w:val="00E9064D"/>
    <w:rsid w:val="00E915DC"/>
    <w:rsid w:val="00E96CA0"/>
    <w:rsid w:val="00EA0C93"/>
    <w:rsid w:val="00EA136F"/>
    <w:rsid w:val="00EA1BB8"/>
    <w:rsid w:val="00EA4BE9"/>
    <w:rsid w:val="00EA4D72"/>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0FF72E5"/>
    <w:rsid w:val="018A5D41"/>
    <w:rsid w:val="01E45FB7"/>
    <w:rsid w:val="02415C62"/>
    <w:rsid w:val="02872629"/>
    <w:rsid w:val="035058C7"/>
    <w:rsid w:val="035E0DBD"/>
    <w:rsid w:val="03F86B1C"/>
    <w:rsid w:val="04784D87"/>
    <w:rsid w:val="060317A8"/>
    <w:rsid w:val="07C35693"/>
    <w:rsid w:val="08BF40AC"/>
    <w:rsid w:val="08CE22D8"/>
    <w:rsid w:val="099A468B"/>
    <w:rsid w:val="0A875C10"/>
    <w:rsid w:val="0A8D0F51"/>
    <w:rsid w:val="0AF3628F"/>
    <w:rsid w:val="0B363250"/>
    <w:rsid w:val="0BE36D47"/>
    <w:rsid w:val="0C4C20FB"/>
    <w:rsid w:val="0CD820F1"/>
    <w:rsid w:val="0CE25200"/>
    <w:rsid w:val="0D5E1B07"/>
    <w:rsid w:val="0D7F02AE"/>
    <w:rsid w:val="0DE079F5"/>
    <w:rsid w:val="0E545297"/>
    <w:rsid w:val="10516D8F"/>
    <w:rsid w:val="106F56A5"/>
    <w:rsid w:val="10DD5A17"/>
    <w:rsid w:val="11E5553C"/>
    <w:rsid w:val="11EE77B0"/>
    <w:rsid w:val="11F272A1"/>
    <w:rsid w:val="120A5DB1"/>
    <w:rsid w:val="123F711E"/>
    <w:rsid w:val="12BB6165"/>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EF651FF"/>
    <w:rsid w:val="1F262338"/>
    <w:rsid w:val="1F550AAE"/>
    <w:rsid w:val="21010D55"/>
    <w:rsid w:val="21D94E59"/>
    <w:rsid w:val="224156DA"/>
    <w:rsid w:val="22C43320"/>
    <w:rsid w:val="230230BC"/>
    <w:rsid w:val="23984280"/>
    <w:rsid w:val="23A203FB"/>
    <w:rsid w:val="253B0B07"/>
    <w:rsid w:val="257449AC"/>
    <w:rsid w:val="2790205B"/>
    <w:rsid w:val="288D3427"/>
    <w:rsid w:val="28C54DCD"/>
    <w:rsid w:val="28CE4005"/>
    <w:rsid w:val="29F9354B"/>
    <w:rsid w:val="2A73489F"/>
    <w:rsid w:val="2C5C33A3"/>
    <w:rsid w:val="2CE455E0"/>
    <w:rsid w:val="2CF73A01"/>
    <w:rsid w:val="2D452523"/>
    <w:rsid w:val="2DBF0527"/>
    <w:rsid w:val="2E1524DD"/>
    <w:rsid w:val="2FE83639"/>
    <w:rsid w:val="301B0ADB"/>
    <w:rsid w:val="307146A2"/>
    <w:rsid w:val="308B2942"/>
    <w:rsid w:val="32285F6F"/>
    <w:rsid w:val="3266677F"/>
    <w:rsid w:val="32ED521C"/>
    <w:rsid w:val="348F6779"/>
    <w:rsid w:val="36061271"/>
    <w:rsid w:val="360D3DFA"/>
    <w:rsid w:val="377939F2"/>
    <w:rsid w:val="38AA5930"/>
    <w:rsid w:val="392626C6"/>
    <w:rsid w:val="3943735F"/>
    <w:rsid w:val="39965260"/>
    <w:rsid w:val="3A4D0C68"/>
    <w:rsid w:val="3B003F2D"/>
    <w:rsid w:val="3E460C81"/>
    <w:rsid w:val="3E4E72A6"/>
    <w:rsid w:val="3EA347C1"/>
    <w:rsid w:val="3EDD5BC4"/>
    <w:rsid w:val="40384169"/>
    <w:rsid w:val="40B04500"/>
    <w:rsid w:val="40CA3013"/>
    <w:rsid w:val="42424E2B"/>
    <w:rsid w:val="427B5168"/>
    <w:rsid w:val="42870A90"/>
    <w:rsid w:val="42C13A9F"/>
    <w:rsid w:val="43076514"/>
    <w:rsid w:val="43783852"/>
    <w:rsid w:val="444F1F4F"/>
    <w:rsid w:val="447F7AC2"/>
    <w:rsid w:val="44A1236F"/>
    <w:rsid w:val="44F22F67"/>
    <w:rsid w:val="456B4496"/>
    <w:rsid w:val="49296D45"/>
    <w:rsid w:val="493F377B"/>
    <w:rsid w:val="49AA1C33"/>
    <w:rsid w:val="4B0215FB"/>
    <w:rsid w:val="4C9F589F"/>
    <w:rsid w:val="4D1E40A2"/>
    <w:rsid w:val="4DD04FF2"/>
    <w:rsid w:val="4DE01544"/>
    <w:rsid w:val="4E824F2D"/>
    <w:rsid w:val="4F6603AB"/>
    <w:rsid w:val="50B74C36"/>
    <w:rsid w:val="51D27F79"/>
    <w:rsid w:val="52F77B3F"/>
    <w:rsid w:val="535C7E63"/>
    <w:rsid w:val="53FD32A8"/>
    <w:rsid w:val="54824DEE"/>
    <w:rsid w:val="54F86141"/>
    <w:rsid w:val="54F95756"/>
    <w:rsid w:val="553C7B08"/>
    <w:rsid w:val="562A45DB"/>
    <w:rsid w:val="564F41DF"/>
    <w:rsid w:val="565E6B78"/>
    <w:rsid w:val="56867584"/>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EBA601D"/>
    <w:rsid w:val="5F4B3119"/>
    <w:rsid w:val="5FE86BBA"/>
    <w:rsid w:val="61C0584D"/>
    <w:rsid w:val="625B3673"/>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5281A11"/>
    <w:rsid w:val="769D2054"/>
    <w:rsid w:val="76FB4FCD"/>
    <w:rsid w:val="775D3592"/>
    <w:rsid w:val="782642CC"/>
    <w:rsid w:val="784F06F1"/>
    <w:rsid w:val="786F3453"/>
    <w:rsid w:val="7A1A1E1A"/>
    <w:rsid w:val="7A1C2201"/>
    <w:rsid w:val="7B007056"/>
    <w:rsid w:val="7B657E87"/>
    <w:rsid w:val="7C4C0B76"/>
    <w:rsid w:val="7C727ADF"/>
    <w:rsid w:val="7E1A3F8B"/>
    <w:rsid w:val="7EED64CF"/>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qFormat/>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qFormat/>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9"/>
    <w:rPr>
      <w:rFonts w:ascii="Times New Roman" w:hAnsi="Times New Roman" w:cs="Times New Roman"/>
      <w:kern w:val="0"/>
      <w:sz w:val="24"/>
      <w:szCs w:val="24"/>
    </w:rPr>
  </w:style>
  <w:style w:type="character" w:customStyle="1" w:styleId="26">
    <w:name w:val="标题 2 Char"/>
    <w:link w:val="3"/>
    <w:qFormat/>
    <w:uiPriority w:val="99"/>
    <w:rPr>
      <w:rFonts w:ascii="Times New Roman" w:hAnsi="Times New Roman" w:cs="Times New Roman"/>
      <w:kern w:val="0"/>
      <w:sz w:val="24"/>
      <w:szCs w:val="24"/>
    </w:rPr>
  </w:style>
  <w:style w:type="character" w:customStyle="1" w:styleId="27">
    <w:name w:val="标题 3 Char"/>
    <w:link w:val="4"/>
    <w:qFormat/>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405F-43BC-4A3A-AADE-3A837AF9BC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17044</Words>
  <Characters>18083</Characters>
  <Lines>156</Lines>
  <Paragraphs>44</Paragraphs>
  <TotalTime>1</TotalTime>
  <ScaleCrop>false</ScaleCrop>
  <LinksUpToDate>false</LinksUpToDate>
  <CharactersWithSpaces>20794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2024-07-18T07:38:11Z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DE3C91C2A3B5482180EC7207DA540B60</vt:lpwstr>
  </property>
</Properties>
</file>