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11</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盐城师范学院2024年秋学期食堂大宗食品原料</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（水产品）采购项目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盐城师范学院2024年秋学期食堂大宗食品原料（水产品）采购项目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11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盐城师范学院2024年秋学期食堂大宗食品原料（水产品）采购项目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2024年8月26日至2025年1月1</w:t>
      </w:r>
      <w:r>
        <w:rPr>
          <w:rFonts w:hint="eastAsia" w:ascii="宋体" w:hAnsi="宋体" w:cs="宋体"/>
          <w:kern w:val="0"/>
          <w:sz w:val="24"/>
          <w:u w:val="single"/>
          <w:lang w:val="en-US" w:eastAsia="zh-CN"/>
        </w:rPr>
        <w:t>5</w:t>
      </w:r>
      <w:r>
        <w:rPr>
          <w:rFonts w:hint="eastAsia" w:ascii="宋体" w:hAnsi="宋体" w:cs="宋体"/>
          <w:kern w:val="0"/>
          <w:sz w:val="24"/>
          <w:u w:val="single"/>
        </w:rPr>
        <w:t>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28359085"/>
      <w:bookmarkStart w:id="2" w:name="_Toc28359008"/>
      <w:bookmarkStart w:id="3" w:name="_Toc35393627"/>
      <w:bookmarkStart w:id="4" w:name="_Toc35393796"/>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6480" w:firstLineChars="2700"/>
        <w:rPr>
          <w:rStyle w:val="37"/>
          <w:rFonts w:ascii="宋体" w:hAnsi="宋体"/>
          <w:sz w:val="24"/>
        </w:rPr>
      </w:pPr>
      <w:r>
        <w:rPr>
          <w:rStyle w:val="37"/>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47629327"/>
      <w:bookmarkStart w:id="31" w:name="_Toc155527169"/>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甲乙双方根据盐城师范学院2024年秋学期食堂大宗食品原料（水产品）采购项目公开招标的结果，签署本合同。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一、货物名称：水产品</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二、合同期限：2024年8月26日至2025年1月1</w:t>
      </w:r>
      <w:r>
        <w:rPr>
          <w:rFonts w:hint="eastAsia" w:ascii="宋体" w:hAnsi="宋体" w:cs="宋体"/>
          <w:sz w:val="24"/>
          <w:szCs w:val="24"/>
          <w:lang w:val="en-US" w:eastAsia="zh-CN"/>
        </w:rPr>
        <w:t>5</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1.乙方所提供的食品、产品必须安全无害，符合国家规定标准。</w:t>
      </w:r>
    </w:p>
    <w:p>
      <w:pPr>
        <w:spacing w:line="480" w:lineRule="exact"/>
        <w:ind w:firstLine="480" w:firstLineChars="200"/>
        <w:rPr>
          <w:rFonts w:ascii="宋体" w:hAnsi="宋体" w:cs="宋体"/>
          <w:sz w:val="24"/>
          <w:szCs w:val="24"/>
        </w:rPr>
      </w:pPr>
      <w:r>
        <w:rPr>
          <w:rFonts w:hint="eastAsia" w:ascii="宋体" w:hAnsi="宋体" w:cs="宋体"/>
          <w:sz w:val="24"/>
          <w:szCs w:val="24"/>
        </w:rPr>
        <w:t>2.乙方应按甲方计划要求，提供新鲜水产品，保证当天宰杀当天配送，去鳞去肚后重量不少于8折。</w:t>
      </w:r>
    </w:p>
    <w:p>
      <w:pPr>
        <w:spacing w:line="480" w:lineRule="exact"/>
        <w:ind w:firstLine="480" w:firstLineChars="200"/>
        <w:rPr>
          <w:rFonts w:ascii="宋体" w:hAnsi="宋体" w:cs="宋体"/>
          <w:sz w:val="24"/>
          <w:szCs w:val="24"/>
        </w:rPr>
      </w:pPr>
      <w:r>
        <w:rPr>
          <w:rFonts w:hint="eastAsia" w:ascii="宋体" w:hAnsi="宋体" w:cs="宋体"/>
          <w:sz w:val="24"/>
          <w:szCs w:val="24"/>
        </w:rPr>
        <w:t>3.乙方应提供具有相关资质第三方出具的配送水产品检测报告，水产品质量达到市场新鲜一级标准，品相不低于甲方质量要求。</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4.</w:t>
      </w:r>
      <w:r>
        <w:rPr>
          <w:rFonts w:hint="eastAsia" w:ascii="宋体" w:hAnsi="宋体" w:cs="宋体"/>
          <w:kern w:val="0"/>
          <w:sz w:val="24"/>
          <w:szCs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项目</w:t>
            </w:r>
          </w:p>
        </w:tc>
        <w:tc>
          <w:tcPr>
            <w:tcW w:w="7371" w:type="dxa"/>
            <w:vAlign w:val="center"/>
          </w:tcPr>
          <w:p>
            <w:pPr>
              <w:jc w:val="center"/>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色泽</w:t>
            </w:r>
          </w:p>
        </w:tc>
        <w:tc>
          <w:tcPr>
            <w:tcW w:w="7371" w:type="dxa"/>
            <w:vAlign w:val="center"/>
          </w:tcPr>
          <w:p>
            <w:pPr>
              <w:jc w:val="center"/>
              <w:rPr>
                <w:rFonts w:ascii="宋体" w:hAnsi="宋体"/>
                <w:sz w:val="24"/>
                <w:szCs w:val="24"/>
              </w:rPr>
            </w:pPr>
            <w:r>
              <w:rPr>
                <w:rFonts w:hint="eastAsia" w:ascii="宋体" w:hAnsi="宋体"/>
                <w:sz w:val="24"/>
                <w:szCs w:val="24"/>
              </w:rPr>
              <w:t>有光泽,新鲜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形状</w:t>
            </w:r>
          </w:p>
        </w:tc>
        <w:tc>
          <w:tcPr>
            <w:tcW w:w="7371" w:type="dxa"/>
            <w:vAlign w:val="center"/>
          </w:tcPr>
          <w:p>
            <w:pPr>
              <w:jc w:val="center"/>
              <w:rPr>
                <w:rFonts w:ascii="宋体" w:hAnsi="宋体"/>
                <w:sz w:val="24"/>
                <w:szCs w:val="24"/>
              </w:rPr>
            </w:pPr>
            <w:r>
              <w:rPr>
                <w:rFonts w:hint="eastAsia" w:ascii="宋体" w:hAnsi="宋体"/>
                <w:sz w:val="24"/>
                <w:szCs w:val="24"/>
              </w:rPr>
              <w:t>鱼肉有弹性，未冷冻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气味</w:t>
            </w:r>
          </w:p>
        </w:tc>
        <w:tc>
          <w:tcPr>
            <w:tcW w:w="7371" w:type="dxa"/>
            <w:vAlign w:val="center"/>
          </w:tcPr>
          <w:p>
            <w:pPr>
              <w:jc w:val="center"/>
              <w:rPr>
                <w:rFonts w:ascii="宋体" w:hAnsi="宋体"/>
                <w:sz w:val="24"/>
                <w:szCs w:val="24"/>
              </w:rPr>
            </w:pPr>
            <w:r>
              <w:rPr>
                <w:rFonts w:hint="eastAsia" w:ascii="宋体" w:hAnsi="宋体"/>
                <w:sz w:val="24"/>
                <w:szCs w:val="24"/>
              </w:rPr>
              <w:t>无异味</w:t>
            </w:r>
          </w:p>
        </w:tc>
      </w:tr>
    </w:tbl>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lang w:val="en-US" w:eastAsia="zh-CN"/>
        </w:rPr>
        <w:t>伍仟</w:t>
      </w:r>
      <w:r>
        <w:rPr>
          <w:rFonts w:hint="eastAsia" w:ascii="宋体" w:hAnsi="宋体" w:cs="宋体"/>
          <w:b/>
          <w:color w:val="000000"/>
          <w:kern w:val="0"/>
          <w:sz w:val="24"/>
          <w:szCs w:val="24"/>
          <w:u w:val="single"/>
        </w:rPr>
        <w:t>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2. 乙方按甲方采供系统平台开放的采购账号（数量在40个左右）出具的申请单进行货物分装。货物配送费用由乙方自行承担。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850"/>
        <w:gridCol w:w="2085"/>
        <w:gridCol w:w="138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96"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2850" w:type="dxa"/>
            <w:vAlign w:val="center"/>
          </w:tcPr>
          <w:p>
            <w:pPr>
              <w:spacing w:line="240" w:lineRule="exact"/>
              <w:jc w:val="center"/>
              <w:rPr>
                <w:rFonts w:cs="宋体" w:asciiTheme="minorEastAsia" w:hAnsiTheme="minorEastAsia" w:eastAsiaTheme="minorEastAsia"/>
                <w:bCs/>
                <w:color w:val="000000"/>
                <w:szCs w:val="21"/>
              </w:rPr>
            </w:pPr>
            <w:r>
              <w:rPr>
                <w:rFonts w:hint="eastAsia" w:ascii="宋体" w:hAnsi="宋体" w:cs="楷体"/>
                <w:kern w:val="0"/>
                <w:szCs w:val="21"/>
                <w:lang w:bidi="ar"/>
              </w:rPr>
              <w:t>凌家塘水产品名称</w:t>
            </w:r>
          </w:p>
        </w:tc>
        <w:tc>
          <w:tcPr>
            <w:tcW w:w="2085"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1381"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823"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2850" w:type="dxa"/>
            <w:vAlign w:val="center"/>
          </w:tcPr>
          <w:p>
            <w:pPr>
              <w:widowControl/>
              <w:jc w:val="center"/>
              <w:textAlignment w:val="center"/>
              <w:rPr>
                <w:rFonts w:ascii="宋体" w:hAnsi="宋体" w:cs="楷体"/>
                <w:kern w:val="0"/>
                <w:szCs w:val="21"/>
                <w:lang w:bidi="ar"/>
              </w:rPr>
            </w:pPr>
            <w:r>
              <w:rPr>
                <w:rFonts w:hint="eastAsia" w:ascii="宋体" w:hAnsi="宋体" w:cs="楷体"/>
                <w:kern w:val="0"/>
                <w:szCs w:val="21"/>
                <w:lang w:bidi="ar"/>
              </w:rPr>
              <w:t>草鱼（俗称青鱼）</w:t>
            </w:r>
          </w:p>
        </w:tc>
        <w:tc>
          <w:tcPr>
            <w:tcW w:w="2085" w:type="dxa"/>
            <w:vAlign w:val="center"/>
          </w:tcPr>
          <w:p>
            <w:pPr>
              <w:widowControl/>
              <w:jc w:val="center"/>
              <w:textAlignment w:val="center"/>
              <w:rPr>
                <w:rFonts w:ascii="宋体" w:hAnsi="宋体" w:cs="楷体"/>
                <w:szCs w:val="21"/>
              </w:rPr>
            </w:pPr>
            <w:r>
              <w:rPr>
                <w:rFonts w:hint="eastAsia" w:ascii="宋体" w:hAnsi="宋体" w:cs="楷体"/>
                <w:kern w:val="0"/>
                <w:szCs w:val="21"/>
                <w:lang w:bidi="ar"/>
              </w:rPr>
              <w:t>3斤以上</w:t>
            </w:r>
          </w:p>
        </w:tc>
        <w:tc>
          <w:tcPr>
            <w:tcW w:w="1381" w:type="dxa"/>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楷体"/>
                <w:kern w:val="0"/>
                <w:szCs w:val="21"/>
                <w:lang w:bidi="ar"/>
              </w:rPr>
              <w:t>斤</w:t>
            </w:r>
          </w:p>
        </w:tc>
        <w:tc>
          <w:tcPr>
            <w:tcW w:w="1823"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2850" w:type="dxa"/>
            <w:vAlign w:val="center"/>
          </w:tcPr>
          <w:p>
            <w:pPr>
              <w:widowControl/>
              <w:jc w:val="center"/>
              <w:textAlignment w:val="center"/>
              <w:rPr>
                <w:rFonts w:ascii="宋体" w:hAnsi="宋体" w:cs="楷体"/>
                <w:kern w:val="0"/>
                <w:szCs w:val="21"/>
                <w:lang w:bidi="ar"/>
              </w:rPr>
            </w:pPr>
            <w:r>
              <w:rPr>
                <w:rFonts w:hint="eastAsia" w:ascii="宋体" w:hAnsi="宋体" w:cs="楷体"/>
                <w:kern w:val="0"/>
                <w:szCs w:val="21"/>
                <w:lang w:bidi="ar"/>
              </w:rPr>
              <w:t>鳊鱼</w:t>
            </w:r>
          </w:p>
        </w:tc>
        <w:tc>
          <w:tcPr>
            <w:tcW w:w="2085" w:type="dxa"/>
            <w:vAlign w:val="center"/>
          </w:tcPr>
          <w:p>
            <w:pPr>
              <w:widowControl/>
              <w:jc w:val="center"/>
              <w:textAlignment w:val="center"/>
              <w:rPr>
                <w:rFonts w:ascii="宋体" w:hAnsi="宋体" w:cs="楷体"/>
                <w:szCs w:val="21"/>
              </w:rPr>
            </w:pPr>
            <w:r>
              <w:rPr>
                <w:rFonts w:hint="eastAsia" w:ascii="宋体" w:hAnsi="宋体" w:cs="楷体"/>
                <w:kern w:val="0"/>
                <w:szCs w:val="21"/>
                <w:lang w:bidi="ar"/>
              </w:rPr>
              <w:t>8两以上</w:t>
            </w:r>
          </w:p>
        </w:tc>
        <w:tc>
          <w:tcPr>
            <w:tcW w:w="1381" w:type="dxa"/>
            <w:vAlign w:val="center"/>
          </w:tcPr>
          <w:p>
            <w:pPr>
              <w:jc w:val="center"/>
            </w:pPr>
            <w:r>
              <w:rPr>
                <w:rFonts w:hint="eastAsia" w:ascii="宋体" w:hAnsi="宋体" w:cs="楷体"/>
                <w:kern w:val="0"/>
                <w:szCs w:val="21"/>
                <w:lang w:bidi="ar"/>
              </w:rPr>
              <w:t>斤</w:t>
            </w:r>
          </w:p>
        </w:tc>
        <w:tc>
          <w:tcPr>
            <w:tcW w:w="1823"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2850" w:type="dxa"/>
            <w:vAlign w:val="center"/>
          </w:tcPr>
          <w:p>
            <w:pPr>
              <w:widowControl/>
              <w:jc w:val="center"/>
              <w:textAlignment w:val="center"/>
              <w:rPr>
                <w:rFonts w:ascii="宋体" w:hAnsi="宋体" w:cs="楷体"/>
                <w:kern w:val="0"/>
                <w:szCs w:val="21"/>
                <w:lang w:bidi="ar"/>
              </w:rPr>
            </w:pPr>
            <w:r>
              <w:rPr>
                <w:rFonts w:hint="eastAsia" w:ascii="宋体" w:hAnsi="宋体" w:cs="楷体"/>
                <w:kern w:val="0"/>
                <w:szCs w:val="21"/>
                <w:lang w:bidi="ar"/>
              </w:rPr>
              <w:t>鲢鱼（白）</w:t>
            </w:r>
          </w:p>
        </w:tc>
        <w:tc>
          <w:tcPr>
            <w:tcW w:w="2085" w:type="dxa"/>
            <w:vAlign w:val="center"/>
          </w:tcPr>
          <w:p>
            <w:pPr>
              <w:widowControl/>
              <w:jc w:val="center"/>
              <w:textAlignment w:val="center"/>
              <w:rPr>
                <w:rFonts w:ascii="宋体" w:hAnsi="宋体" w:cs="楷体"/>
                <w:szCs w:val="21"/>
              </w:rPr>
            </w:pPr>
            <w:r>
              <w:rPr>
                <w:rFonts w:hint="eastAsia" w:ascii="宋体" w:hAnsi="宋体" w:cs="楷体"/>
                <w:kern w:val="0"/>
                <w:szCs w:val="21"/>
                <w:lang w:bidi="ar"/>
              </w:rPr>
              <w:t>2斤以上</w:t>
            </w:r>
          </w:p>
        </w:tc>
        <w:tc>
          <w:tcPr>
            <w:tcW w:w="1381" w:type="dxa"/>
            <w:vAlign w:val="center"/>
          </w:tcPr>
          <w:p>
            <w:pPr>
              <w:jc w:val="center"/>
            </w:pPr>
            <w:r>
              <w:rPr>
                <w:rFonts w:hint="eastAsia" w:ascii="宋体" w:hAnsi="宋体" w:cs="楷体"/>
                <w:kern w:val="0"/>
                <w:szCs w:val="21"/>
                <w:lang w:bidi="ar"/>
              </w:rPr>
              <w:t>斤</w:t>
            </w:r>
          </w:p>
        </w:tc>
        <w:tc>
          <w:tcPr>
            <w:tcW w:w="1823"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2850" w:type="dxa"/>
            <w:vAlign w:val="center"/>
          </w:tcPr>
          <w:p>
            <w:pPr>
              <w:widowControl/>
              <w:jc w:val="center"/>
              <w:textAlignment w:val="center"/>
              <w:rPr>
                <w:rFonts w:ascii="宋体" w:hAnsi="宋体" w:cs="楷体"/>
                <w:szCs w:val="21"/>
              </w:rPr>
            </w:pPr>
            <w:r>
              <w:rPr>
                <w:rFonts w:hint="eastAsia" w:ascii="宋体" w:hAnsi="宋体" w:cs="楷体"/>
                <w:kern w:val="0"/>
                <w:szCs w:val="21"/>
                <w:lang w:bidi="ar"/>
              </w:rPr>
              <w:t>灰鲢（俗称花鲢）</w:t>
            </w:r>
          </w:p>
        </w:tc>
        <w:tc>
          <w:tcPr>
            <w:tcW w:w="2085" w:type="dxa"/>
            <w:vAlign w:val="center"/>
          </w:tcPr>
          <w:p>
            <w:pPr>
              <w:widowControl/>
              <w:jc w:val="center"/>
              <w:textAlignment w:val="center"/>
              <w:rPr>
                <w:rFonts w:ascii="宋体" w:hAnsi="宋体" w:cs="楷体"/>
                <w:szCs w:val="21"/>
              </w:rPr>
            </w:pPr>
            <w:r>
              <w:rPr>
                <w:rFonts w:hint="eastAsia" w:ascii="宋体" w:hAnsi="宋体" w:cs="楷体"/>
                <w:kern w:val="0"/>
                <w:szCs w:val="21"/>
                <w:lang w:bidi="ar"/>
              </w:rPr>
              <w:t>3斤以上</w:t>
            </w:r>
          </w:p>
        </w:tc>
        <w:tc>
          <w:tcPr>
            <w:tcW w:w="1381" w:type="dxa"/>
            <w:vAlign w:val="center"/>
          </w:tcPr>
          <w:p>
            <w:pPr>
              <w:jc w:val="center"/>
            </w:pPr>
            <w:r>
              <w:rPr>
                <w:rFonts w:hint="eastAsia" w:ascii="宋体" w:hAnsi="宋体" w:cs="楷体"/>
                <w:kern w:val="0"/>
                <w:szCs w:val="21"/>
                <w:lang w:bidi="ar"/>
              </w:rPr>
              <w:t>斤</w:t>
            </w:r>
          </w:p>
        </w:tc>
        <w:tc>
          <w:tcPr>
            <w:tcW w:w="1823"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2850" w:type="dxa"/>
            <w:vAlign w:val="center"/>
          </w:tcPr>
          <w:p>
            <w:pPr>
              <w:widowControl/>
              <w:jc w:val="center"/>
              <w:textAlignment w:val="center"/>
              <w:rPr>
                <w:rFonts w:ascii="宋体" w:hAnsi="宋体" w:cs="楷体"/>
                <w:szCs w:val="21"/>
              </w:rPr>
            </w:pPr>
            <w:r>
              <w:rPr>
                <w:rFonts w:hint="eastAsia" w:ascii="宋体" w:hAnsi="宋体" w:cs="楷体"/>
                <w:kern w:val="0"/>
                <w:szCs w:val="21"/>
                <w:lang w:bidi="ar"/>
              </w:rPr>
              <w:t>鲫鱼</w:t>
            </w:r>
          </w:p>
        </w:tc>
        <w:tc>
          <w:tcPr>
            <w:tcW w:w="2085" w:type="dxa"/>
            <w:vAlign w:val="center"/>
          </w:tcPr>
          <w:p>
            <w:pPr>
              <w:widowControl/>
              <w:jc w:val="center"/>
              <w:textAlignment w:val="center"/>
              <w:rPr>
                <w:rFonts w:ascii="宋体" w:hAnsi="宋体" w:cs="楷体"/>
                <w:szCs w:val="21"/>
              </w:rPr>
            </w:pPr>
            <w:r>
              <w:rPr>
                <w:rFonts w:hint="eastAsia" w:ascii="宋体" w:hAnsi="宋体" w:cs="楷体"/>
                <w:kern w:val="0"/>
                <w:szCs w:val="21"/>
                <w:lang w:bidi="ar"/>
              </w:rPr>
              <w:t>3两-半斤</w:t>
            </w:r>
          </w:p>
        </w:tc>
        <w:tc>
          <w:tcPr>
            <w:tcW w:w="1381" w:type="dxa"/>
            <w:vAlign w:val="center"/>
          </w:tcPr>
          <w:p>
            <w:pPr>
              <w:jc w:val="center"/>
            </w:pPr>
            <w:r>
              <w:rPr>
                <w:rFonts w:hint="eastAsia" w:ascii="宋体" w:hAnsi="宋体" w:cs="楷体"/>
                <w:kern w:val="0"/>
                <w:szCs w:val="21"/>
                <w:lang w:bidi="ar"/>
              </w:rPr>
              <w:t>斤</w:t>
            </w:r>
          </w:p>
        </w:tc>
        <w:tc>
          <w:tcPr>
            <w:tcW w:w="1823" w:type="dxa"/>
            <w:vAlign w:val="center"/>
          </w:tcPr>
          <w:p>
            <w:pPr>
              <w:spacing w:line="240" w:lineRule="exact"/>
              <w:jc w:val="center"/>
              <w:rPr>
                <w:rFonts w:cs="宋体" w:asciiTheme="minorEastAsia" w:hAnsiTheme="minorEastAsia" w:eastAsiaTheme="minorEastAsia"/>
                <w:color w:val="000000"/>
                <w:szCs w:val="21"/>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2.乙方应严格按甲方规定的质量标准进行供货，出现以上质量问题按下列条款进行处罚：</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的水产品低于配送餐厅该品种水产品重量10%，由餐厅主任、验收人员及乙方人员现场确认重量，乙方人员如不在现场则保留图片资料，由乙方负责及时调换或核减数量，确保不影响餐厅的正常工作。 </w:t>
      </w:r>
    </w:p>
    <w:p>
      <w:pPr>
        <w:spacing w:line="480" w:lineRule="exact"/>
        <w:ind w:firstLine="480" w:firstLineChars="200"/>
        <w:rPr>
          <w:rFonts w:ascii="宋体" w:hAnsi="宋体" w:cs="宋体"/>
          <w:sz w:val="24"/>
          <w:szCs w:val="24"/>
        </w:rPr>
      </w:pPr>
      <w:r>
        <w:rPr>
          <w:rFonts w:hint="eastAsia" w:ascii="宋体" w:hAnsi="宋体" w:cs="宋体"/>
          <w:sz w:val="24"/>
          <w:szCs w:val="24"/>
        </w:rPr>
        <w:t>（2）腐败变质的水产品占配送餐厅该品种水产品重量10-20%，由餐厅主任、验收人员及乙方人员现场确认，乙方人员如不在现场则保留图片资料，由乙方负责及时调换，确保不影响餐厅的正常工作。该品种水产品当日在配送餐厅的货款全部不予结算，并罚款500元/次。</w:t>
      </w:r>
    </w:p>
    <w:p>
      <w:pPr>
        <w:spacing w:line="480" w:lineRule="exact"/>
        <w:ind w:firstLine="480" w:firstLineChars="200"/>
        <w:rPr>
          <w:rFonts w:ascii="宋体" w:hAnsi="宋体" w:cs="宋体"/>
          <w:sz w:val="24"/>
          <w:szCs w:val="24"/>
        </w:rPr>
      </w:pPr>
      <w:r>
        <w:rPr>
          <w:rFonts w:hint="eastAsia" w:ascii="宋体" w:hAnsi="宋体" w:cs="宋体"/>
          <w:sz w:val="24"/>
          <w:szCs w:val="24"/>
        </w:rPr>
        <w:t>（3）腐败变质的水产品占配送餐厅该品种水产品重量20%以上，由餐厅主任、验收人员及乙方人员现场确认，乙方人员如不在现场则保留图片资料，由乙方负责及时调换，确保不影响餐厅的正常工作。该品种蔬菜、水产品当日在全校餐厅的货款全部不予结算，并罚款2000元/次。</w:t>
      </w:r>
    </w:p>
    <w:p>
      <w:pPr>
        <w:spacing w:line="480" w:lineRule="exact"/>
        <w:ind w:firstLine="480" w:firstLineChars="200"/>
        <w:rPr>
          <w:rFonts w:ascii="宋体" w:hAnsi="宋体" w:cs="宋体"/>
          <w:sz w:val="24"/>
          <w:szCs w:val="24"/>
        </w:rPr>
      </w:pPr>
      <w:r>
        <w:rPr>
          <w:rFonts w:hint="eastAsia" w:ascii="宋体" w:hAnsi="宋体" w:cs="宋体"/>
          <w:sz w:val="24"/>
          <w:szCs w:val="24"/>
        </w:rPr>
        <w:t>（4）连续发生3次第3条质量问题的，甲方有权单方面终止合同。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w:t>
      </w:r>
      <w:r>
        <w:rPr>
          <w:rFonts w:hint="eastAsia" w:ascii="宋体" w:hAnsi="宋体" w:cs="宋体"/>
          <w:sz w:val="24"/>
          <w:szCs w:val="24"/>
        </w:rPr>
        <w:t>水产品</w:t>
      </w:r>
      <w:r>
        <w:rPr>
          <w:rFonts w:hint="eastAsia" w:ascii="宋体" w:hAnsi="宋体" w:cs="宋体"/>
          <w:kern w:val="0"/>
          <w:sz w:val="24"/>
          <w:szCs w:val="24"/>
        </w:rPr>
        <w:t>；</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2、预计采购量：水产品3000斤。“预计采购量”仅作为投标参考量，不作为合同履约依据，如有政策性扶贫任务，采购量将依据要求减少，最终以采购人实际采购量为准。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1、所提供的食品、产品必须安全无害，符合国家规定标准。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2、供应商应按采购人计划要求，提供新鲜水产品，保证当天宰杀当天配送，去鳞去肚后重量不少于8折。</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3、供应商应提供具有相关资质第三方出具的配送水产品检测报告，水产品质量达到市场新鲜一级标准，品相不低于甲方质量要求。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项目</w:t>
            </w:r>
          </w:p>
        </w:tc>
        <w:tc>
          <w:tcPr>
            <w:tcW w:w="7371" w:type="dxa"/>
            <w:vAlign w:val="center"/>
          </w:tcPr>
          <w:p>
            <w:pPr>
              <w:jc w:val="center"/>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色泽</w:t>
            </w:r>
          </w:p>
        </w:tc>
        <w:tc>
          <w:tcPr>
            <w:tcW w:w="7371" w:type="dxa"/>
            <w:vAlign w:val="center"/>
          </w:tcPr>
          <w:p>
            <w:pPr>
              <w:jc w:val="center"/>
              <w:rPr>
                <w:rFonts w:ascii="宋体" w:hAnsi="宋体"/>
                <w:sz w:val="24"/>
                <w:szCs w:val="24"/>
              </w:rPr>
            </w:pPr>
            <w:r>
              <w:rPr>
                <w:rFonts w:hint="eastAsia" w:ascii="宋体" w:hAnsi="宋体"/>
                <w:sz w:val="24"/>
                <w:szCs w:val="24"/>
              </w:rPr>
              <w:t>有光泽,新鲜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形状</w:t>
            </w:r>
          </w:p>
        </w:tc>
        <w:tc>
          <w:tcPr>
            <w:tcW w:w="7371" w:type="dxa"/>
            <w:vAlign w:val="center"/>
          </w:tcPr>
          <w:p>
            <w:pPr>
              <w:jc w:val="center"/>
              <w:rPr>
                <w:rFonts w:ascii="宋体" w:hAnsi="宋体"/>
                <w:sz w:val="24"/>
                <w:szCs w:val="24"/>
              </w:rPr>
            </w:pPr>
            <w:r>
              <w:rPr>
                <w:rFonts w:hint="eastAsia" w:ascii="宋体" w:hAnsi="宋体"/>
                <w:sz w:val="24"/>
                <w:szCs w:val="24"/>
              </w:rPr>
              <w:t>鱼肉有弹性，未冷冻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气味</w:t>
            </w:r>
          </w:p>
        </w:tc>
        <w:tc>
          <w:tcPr>
            <w:tcW w:w="7371" w:type="dxa"/>
            <w:vAlign w:val="center"/>
          </w:tcPr>
          <w:p>
            <w:pPr>
              <w:jc w:val="center"/>
              <w:rPr>
                <w:rFonts w:ascii="宋体" w:hAnsi="宋体"/>
                <w:sz w:val="24"/>
                <w:szCs w:val="24"/>
              </w:rPr>
            </w:pPr>
            <w:r>
              <w:rPr>
                <w:rFonts w:hint="eastAsia" w:ascii="宋体" w:hAnsi="宋体"/>
                <w:sz w:val="24"/>
                <w:szCs w:val="24"/>
              </w:rPr>
              <w:t>无异味</w:t>
            </w:r>
          </w:p>
        </w:tc>
      </w:tr>
    </w:tbl>
    <w:p>
      <w:pPr>
        <w:spacing w:line="480" w:lineRule="exact"/>
        <w:ind w:firstLine="480" w:firstLineChars="200"/>
        <w:rPr>
          <w:rFonts w:ascii="宋体" w:hAnsi="宋体" w:cs="宋体"/>
          <w:kern w:val="0"/>
          <w:sz w:val="24"/>
          <w:szCs w:val="24"/>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w:t>
      </w:r>
      <w:r>
        <w:rPr>
          <w:rFonts w:hint="eastAsia" w:ascii="宋体" w:hAnsi="宋体" w:cs="宋体"/>
          <w:kern w:val="0"/>
          <w:sz w:val="24"/>
          <w:szCs w:val="24"/>
          <w:lang w:val="en-US" w:eastAsia="zh-CN"/>
        </w:rPr>
        <w:t>伍仟</w:t>
      </w:r>
      <w:r>
        <w:rPr>
          <w:rFonts w:hint="eastAsia" w:ascii="宋体" w:hAnsi="宋体" w:cs="宋体"/>
          <w:kern w:val="0"/>
          <w:sz w:val="24"/>
          <w:szCs w:val="24"/>
        </w:rPr>
        <w:t>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22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tblPrEx>
          <w:tblCellMar>
            <w:top w:w="0" w:type="dxa"/>
            <w:left w:w="108" w:type="dxa"/>
            <w:bottom w:w="0" w:type="dxa"/>
            <w:right w:w="108" w:type="dxa"/>
          </w:tblCellMar>
        </w:tblPrEx>
        <w:trPr>
          <w:trHeight w:val="1315"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（15分）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本项最多得10分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740"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cs="楷体"/>
                <w:sz w:val="24"/>
                <w:szCs w:val="24"/>
              </w:rPr>
              <w:t>二、投标人有固定送货服务人员，每有1人得1分，</w:t>
            </w:r>
            <w:r>
              <w:rPr>
                <w:rFonts w:hint="eastAsia" w:ascii="宋体" w:hAnsi="宋体" w:cs="楷体"/>
                <w:b/>
                <w:sz w:val="24"/>
                <w:szCs w:val="24"/>
              </w:rPr>
              <w:t>本项最多得2分</w:t>
            </w:r>
            <w:r>
              <w:rPr>
                <w:rFonts w:hint="eastAsia" w:ascii="宋体" w:hAnsi="宋体" w:cs="楷体"/>
                <w:sz w:val="24"/>
                <w:szCs w:val="24"/>
              </w:rPr>
              <w:t>。提供相关人员身份证、有效期内健康证，复印件加盖投标人公章。</w:t>
            </w:r>
          </w:p>
        </w:tc>
      </w:tr>
      <w:tr>
        <w:tblPrEx>
          <w:tblCellMar>
            <w:top w:w="0" w:type="dxa"/>
            <w:left w:w="108" w:type="dxa"/>
            <w:bottom w:w="0" w:type="dxa"/>
            <w:right w:w="108" w:type="dxa"/>
          </w:tblCellMar>
        </w:tblPrEx>
        <w:trPr>
          <w:trHeight w:val="1940"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三、投标人有水产品配送车辆，每有一辆得3分，</w:t>
            </w:r>
            <w:r>
              <w:rPr>
                <w:rFonts w:hint="eastAsia" w:ascii="宋体" w:hAnsi="宋体"/>
                <w:b/>
                <w:sz w:val="24"/>
                <w:szCs w:val="24"/>
              </w:rPr>
              <w:t>本项最多得3分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cs="楷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4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（35分）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评分标准与依据（本项最多得10分）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满足以上三项要求得10分，满足以上两项要求得7分，满足一项得3分，其它情况不得分。格式自拟，加盖投标人公章。</w:t>
            </w:r>
          </w:p>
        </w:tc>
      </w:tr>
      <w:tr>
        <w:tblPrEx>
          <w:tblCellMar>
            <w:top w:w="0" w:type="dxa"/>
            <w:left w:w="108" w:type="dxa"/>
            <w:bottom w:w="0" w:type="dxa"/>
            <w:right w:w="108" w:type="dxa"/>
          </w:tblCellMar>
        </w:tblPrEx>
        <w:trPr>
          <w:trHeight w:val="349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投标人提供项目重点难点分析（包括食材采购、储存、分拣、分装和运输过程中保持新鲜无损伤；配送时间的把控等）的应对措施、合理化建议。</w:t>
            </w:r>
          </w:p>
          <w:p>
            <w:pPr>
              <w:ind w:firstLine="482" w:firstLineChars="200"/>
              <w:rPr>
                <w:rFonts w:ascii="宋体" w:hAnsi="宋体"/>
                <w:b/>
                <w:sz w:val="24"/>
                <w:szCs w:val="24"/>
              </w:rPr>
            </w:pPr>
            <w:r>
              <w:rPr>
                <w:rFonts w:hint="eastAsia" w:ascii="宋体" w:hAnsi="宋体"/>
                <w:b/>
                <w:sz w:val="24"/>
                <w:szCs w:val="24"/>
              </w:rPr>
              <w:t>2.评分标准与依据（本项最多得10分）</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b/>
                <w:sz w:val="24"/>
                <w:szCs w:val="24"/>
              </w:rPr>
            </w:pPr>
            <w:r>
              <w:rPr>
                <w:rFonts w:hint="eastAsia" w:ascii="宋体" w:hAnsi="宋体"/>
                <w:sz w:val="24"/>
                <w:szCs w:val="24"/>
              </w:rPr>
              <w:t>满足以上三项要求得10分，满足以上两项要求得7分，满足一项得分3分，其它情况不得分。格式自拟，加盖投标人公章。</w:t>
            </w:r>
          </w:p>
        </w:tc>
      </w:tr>
      <w:tr>
        <w:tblPrEx>
          <w:tblCellMar>
            <w:top w:w="0" w:type="dxa"/>
            <w:left w:w="108" w:type="dxa"/>
            <w:bottom w:w="0" w:type="dxa"/>
            <w:right w:w="108" w:type="dxa"/>
          </w:tblCellMar>
        </w:tblPrEx>
        <w:trPr>
          <w:trHeight w:val="2465"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三、应急处理工作方案、预案</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 xml:space="preserve">投标人提供完备的物流配送、食品安全等方面的应急处理工作方案、预案。 </w:t>
            </w:r>
          </w:p>
          <w:p>
            <w:pPr>
              <w:ind w:firstLine="482" w:firstLineChars="200"/>
              <w:rPr>
                <w:rFonts w:ascii="宋体" w:hAnsi="宋体"/>
                <w:b/>
                <w:sz w:val="24"/>
                <w:szCs w:val="24"/>
              </w:rPr>
            </w:pPr>
            <w:r>
              <w:rPr>
                <w:rFonts w:hint="eastAsia" w:ascii="宋体" w:hAnsi="宋体"/>
                <w:b/>
                <w:sz w:val="24"/>
                <w:szCs w:val="24"/>
              </w:rPr>
              <w:t>2.评分标准与依据（本项最多得5分）</w:t>
            </w:r>
          </w:p>
          <w:p>
            <w:pPr>
              <w:ind w:firstLine="480" w:firstLineChars="200"/>
              <w:rPr>
                <w:rFonts w:ascii="宋体" w:hAnsi="宋体"/>
                <w:sz w:val="24"/>
                <w:szCs w:val="24"/>
              </w:rPr>
            </w:pPr>
            <w:r>
              <w:rPr>
                <w:rFonts w:hint="eastAsia" w:ascii="宋体" w:hAnsi="宋体"/>
                <w:sz w:val="24"/>
                <w:szCs w:val="24"/>
              </w:rPr>
              <w:t>（1）物流配送应急处理的工作方案详细、科学、合理；</w:t>
            </w:r>
          </w:p>
          <w:p>
            <w:pPr>
              <w:ind w:firstLine="480" w:firstLineChars="200"/>
              <w:rPr>
                <w:rFonts w:ascii="宋体" w:hAnsi="宋体"/>
                <w:sz w:val="24"/>
                <w:szCs w:val="24"/>
              </w:rPr>
            </w:pPr>
            <w:r>
              <w:rPr>
                <w:rFonts w:hint="eastAsia" w:ascii="宋体" w:hAnsi="宋体"/>
                <w:sz w:val="24"/>
                <w:szCs w:val="24"/>
              </w:rPr>
              <w:t>（2）食品安全应急处理的工作方案详细、科学、合理；</w:t>
            </w:r>
          </w:p>
          <w:p>
            <w:pPr>
              <w:ind w:firstLine="480" w:firstLineChars="200"/>
              <w:rPr>
                <w:rFonts w:ascii="宋体" w:hAnsi="宋体"/>
                <w:b/>
                <w:sz w:val="24"/>
                <w:szCs w:val="24"/>
              </w:rPr>
            </w:pPr>
            <w:r>
              <w:rPr>
                <w:rFonts w:hint="eastAsia" w:ascii="宋体" w:hAnsi="宋体"/>
                <w:sz w:val="24"/>
                <w:szCs w:val="24"/>
              </w:rPr>
              <w:t>满足以上两项要求得5分，满足以上一项要求得2分，其它情况不得分。格式自拟，加盖投标人公章。</w:t>
            </w:r>
          </w:p>
        </w:tc>
      </w:tr>
      <w:tr>
        <w:tblPrEx>
          <w:tblCellMar>
            <w:top w:w="0" w:type="dxa"/>
            <w:left w:w="108" w:type="dxa"/>
            <w:bottom w:w="0" w:type="dxa"/>
            <w:right w:w="108" w:type="dxa"/>
          </w:tblCellMar>
        </w:tblPrEx>
        <w:trPr>
          <w:trHeight w:val="312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2.评分标准与依据（本项最多得10分）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满足以上三项要求得10分，满足以上两项要求得7分，满足一项得3分，其它情况不得分。格式自拟，加盖投标人公章。</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九、可行性实施方案、项目重点难点分析、应急处理工作方案和预案、违约承诺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snapToGrid w:val="0"/>
              <w:rPr>
                <w:rFonts w:ascii="宋体" w:hAnsi="宋体"/>
                <w:iCs/>
                <w:sz w:val="24"/>
                <w:szCs w:val="24"/>
              </w:rPr>
            </w:pPr>
            <w:r>
              <w:rPr>
                <w:rFonts w:hint="eastAsia" w:ascii="宋体" w:hAnsi="宋体"/>
                <w:iCs/>
                <w:sz w:val="24"/>
                <w:szCs w:val="24"/>
              </w:rPr>
              <w:t>所提供的食品、产品必须安全无害，符合国家规定标准。</w:t>
            </w: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宋体" w:hAnsi="宋体"/>
                <w:iCs/>
                <w:sz w:val="24"/>
                <w:szCs w:val="24"/>
              </w:rPr>
            </w:pPr>
            <w:r>
              <w:rPr>
                <w:rFonts w:hint="eastAsia" w:ascii="宋体" w:hAnsi="宋体"/>
                <w:iCs/>
                <w:sz w:val="24"/>
                <w:szCs w:val="24"/>
              </w:rPr>
              <w:t>供应商应按采购人计划要求，提供新鲜水产品，保证当天宰杀当天配送，去鳞去肚后重量不少于8折。</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r>
              <w:rPr>
                <w:rFonts w:hint="eastAsia" w:ascii="宋体" w:hAnsi="宋体"/>
                <w:iCs/>
                <w:sz w:val="24"/>
                <w:szCs w:val="24"/>
              </w:rPr>
              <w:t>供应商应提供具有相关资质第三方出具的配送水产品检测报告，水产品质量达到市场新鲜一级标准，品相不低于甲方质量要求。</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bookmarkStart w:id="41" w:name="_GoBack"/>
      <w:bookmarkEnd w:id="41"/>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tabs>
          <w:tab w:val="left" w:pos="953"/>
        </w:tabs>
        <w:jc w:val="center"/>
        <w:rPr>
          <w:rFonts w:ascii="宋体" w:hAnsi="宋体" w:cs="黑体"/>
          <w:b/>
          <w:sz w:val="32"/>
          <w:szCs w:val="32"/>
        </w:rPr>
      </w:pPr>
      <w:r>
        <w:rPr>
          <w:rFonts w:ascii="宋体" w:hAnsi="宋体" w:cs="黑体"/>
          <w:b/>
          <w:sz w:val="32"/>
          <w:szCs w:val="32"/>
        </w:rPr>
        <w:br w:type="page"/>
      </w: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bCs/>
                <w:sz w:val="24"/>
                <w:szCs w:val="24"/>
                <w:lang w:val="zh-CN"/>
              </w:rPr>
            </w:pPr>
            <w:r>
              <w:rPr>
                <w:rFonts w:ascii="宋体" w:hAnsi="Arial" w:cs="宋体"/>
                <w:bCs/>
                <w:sz w:val="24"/>
                <w:szCs w:val="24"/>
                <w:lang w:val="zh-CN"/>
              </w:rPr>
              <w:t>备注</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181"/>
        <w:gridCol w:w="1270"/>
        <w:gridCol w:w="855"/>
        <w:gridCol w:w="1321"/>
        <w:gridCol w:w="1166"/>
        <w:gridCol w:w="13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7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18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270" w:type="dxa"/>
            <w:vAlign w:val="center"/>
          </w:tcPr>
          <w:p>
            <w:pPr>
              <w:jc w:val="center"/>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规格</w:t>
            </w:r>
          </w:p>
        </w:tc>
        <w:tc>
          <w:tcPr>
            <w:tcW w:w="855"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计量单位</w:t>
            </w:r>
          </w:p>
        </w:tc>
        <w:tc>
          <w:tcPr>
            <w:tcW w:w="1321"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预计采购数量</w:t>
            </w:r>
          </w:p>
        </w:tc>
        <w:tc>
          <w:tcPr>
            <w:tcW w:w="1166"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最高限价（元）</w:t>
            </w:r>
          </w:p>
        </w:tc>
        <w:tc>
          <w:tcPr>
            <w:tcW w:w="1382" w:type="dxa"/>
            <w:vAlign w:val="center"/>
          </w:tcPr>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投标单价</w:t>
            </w:r>
          </w:p>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c>
          <w:tcPr>
            <w:tcW w:w="1382" w:type="dxa"/>
            <w:vAlign w:val="center"/>
          </w:tcPr>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投标合价</w:t>
            </w:r>
          </w:p>
          <w:p>
            <w:pPr>
              <w:widowControl/>
              <w:snapToGrid w:val="0"/>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71"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w:t>
            </w:r>
          </w:p>
        </w:tc>
        <w:tc>
          <w:tcPr>
            <w:tcW w:w="1181" w:type="dxa"/>
            <w:vAlign w:val="center"/>
          </w:tcPr>
          <w:p>
            <w:pPr>
              <w:widowControl/>
              <w:jc w:val="center"/>
              <w:textAlignment w:val="center"/>
              <w:rPr>
                <w:rFonts w:cs="楷体" w:asciiTheme="minorEastAsia" w:hAnsiTheme="minorEastAsia" w:eastAsiaTheme="minorEastAsia"/>
                <w:kern w:val="0"/>
                <w:sz w:val="24"/>
                <w:szCs w:val="24"/>
                <w:lang w:bidi="ar"/>
              </w:rPr>
            </w:pPr>
            <w:r>
              <w:rPr>
                <w:rFonts w:hint="eastAsia" w:cs="楷体" w:asciiTheme="minorEastAsia" w:hAnsiTheme="minorEastAsia" w:eastAsiaTheme="minorEastAsia"/>
                <w:kern w:val="0"/>
                <w:sz w:val="24"/>
                <w:szCs w:val="24"/>
                <w:lang w:bidi="ar"/>
              </w:rPr>
              <w:t>草鱼（俗称青鱼）</w:t>
            </w:r>
          </w:p>
        </w:tc>
        <w:tc>
          <w:tcPr>
            <w:tcW w:w="1270" w:type="dxa"/>
            <w:vAlign w:val="center"/>
          </w:tcPr>
          <w:p>
            <w:pPr>
              <w:widowControl/>
              <w:jc w:val="center"/>
              <w:textAlignment w:val="center"/>
              <w:rPr>
                <w:rFonts w:cs="楷体" w:asciiTheme="minorEastAsia" w:hAnsiTheme="minorEastAsia" w:eastAsiaTheme="minorEastAsia"/>
                <w:sz w:val="24"/>
                <w:szCs w:val="24"/>
              </w:rPr>
            </w:pPr>
            <w:r>
              <w:rPr>
                <w:rFonts w:hint="eastAsia" w:cs="楷体" w:asciiTheme="minorEastAsia" w:hAnsiTheme="minorEastAsia" w:eastAsiaTheme="minorEastAsia"/>
                <w:kern w:val="0"/>
                <w:sz w:val="24"/>
                <w:szCs w:val="24"/>
                <w:lang w:bidi="ar"/>
              </w:rPr>
              <w:t>3斤以上</w:t>
            </w:r>
          </w:p>
        </w:tc>
        <w:tc>
          <w:tcPr>
            <w:tcW w:w="855"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斤</w:t>
            </w:r>
          </w:p>
        </w:tc>
        <w:tc>
          <w:tcPr>
            <w:tcW w:w="1321"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500</w:t>
            </w:r>
          </w:p>
        </w:tc>
        <w:tc>
          <w:tcPr>
            <w:tcW w:w="11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9.00</w:t>
            </w: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71"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w:t>
            </w:r>
          </w:p>
        </w:tc>
        <w:tc>
          <w:tcPr>
            <w:tcW w:w="1181" w:type="dxa"/>
            <w:vAlign w:val="center"/>
          </w:tcPr>
          <w:p>
            <w:pPr>
              <w:widowControl/>
              <w:jc w:val="center"/>
              <w:textAlignment w:val="center"/>
              <w:rPr>
                <w:rFonts w:cs="楷体" w:asciiTheme="minorEastAsia" w:hAnsiTheme="minorEastAsia" w:eastAsiaTheme="minorEastAsia"/>
                <w:kern w:val="0"/>
                <w:sz w:val="24"/>
                <w:szCs w:val="24"/>
                <w:lang w:bidi="ar"/>
              </w:rPr>
            </w:pPr>
            <w:r>
              <w:rPr>
                <w:rFonts w:hint="eastAsia" w:cs="楷体" w:asciiTheme="minorEastAsia" w:hAnsiTheme="minorEastAsia" w:eastAsiaTheme="minorEastAsia"/>
                <w:kern w:val="0"/>
                <w:sz w:val="24"/>
                <w:szCs w:val="24"/>
                <w:lang w:bidi="ar"/>
              </w:rPr>
              <w:t>鳊鱼</w:t>
            </w:r>
          </w:p>
        </w:tc>
        <w:tc>
          <w:tcPr>
            <w:tcW w:w="1270" w:type="dxa"/>
            <w:vAlign w:val="center"/>
          </w:tcPr>
          <w:p>
            <w:pPr>
              <w:widowControl/>
              <w:jc w:val="center"/>
              <w:textAlignment w:val="center"/>
              <w:rPr>
                <w:rFonts w:cs="楷体" w:asciiTheme="minorEastAsia" w:hAnsiTheme="minorEastAsia" w:eastAsiaTheme="minorEastAsia"/>
                <w:sz w:val="24"/>
                <w:szCs w:val="24"/>
              </w:rPr>
            </w:pPr>
            <w:r>
              <w:rPr>
                <w:rFonts w:hint="eastAsia" w:cs="楷体" w:asciiTheme="minorEastAsia" w:hAnsiTheme="minorEastAsia" w:eastAsiaTheme="minorEastAsia"/>
                <w:kern w:val="0"/>
                <w:sz w:val="24"/>
                <w:szCs w:val="24"/>
                <w:lang w:bidi="ar"/>
              </w:rPr>
              <w:t>8两以上</w:t>
            </w:r>
          </w:p>
        </w:tc>
        <w:tc>
          <w:tcPr>
            <w:tcW w:w="855"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斤</w:t>
            </w:r>
          </w:p>
        </w:tc>
        <w:tc>
          <w:tcPr>
            <w:tcW w:w="1321"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500</w:t>
            </w:r>
          </w:p>
        </w:tc>
        <w:tc>
          <w:tcPr>
            <w:tcW w:w="11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11.00</w:t>
            </w: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71"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w:t>
            </w:r>
          </w:p>
        </w:tc>
        <w:tc>
          <w:tcPr>
            <w:tcW w:w="1181" w:type="dxa"/>
            <w:vAlign w:val="center"/>
          </w:tcPr>
          <w:p>
            <w:pPr>
              <w:widowControl/>
              <w:jc w:val="center"/>
              <w:textAlignment w:val="center"/>
              <w:rPr>
                <w:rFonts w:cs="楷体" w:asciiTheme="minorEastAsia" w:hAnsiTheme="minorEastAsia" w:eastAsiaTheme="minorEastAsia"/>
                <w:kern w:val="0"/>
                <w:sz w:val="24"/>
                <w:szCs w:val="24"/>
                <w:lang w:bidi="ar"/>
              </w:rPr>
            </w:pPr>
            <w:r>
              <w:rPr>
                <w:rFonts w:hint="eastAsia" w:cs="楷体" w:asciiTheme="minorEastAsia" w:hAnsiTheme="minorEastAsia" w:eastAsiaTheme="minorEastAsia"/>
                <w:kern w:val="0"/>
                <w:sz w:val="24"/>
                <w:szCs w:val="24"/>
                <w:lang w:bidi="ar"/>
              </w:rPr>
              <w:t>鲢鱼（白）</w:t>
            </w:r>
          </w:p>
        </w:tc>
        <w:tc>
          <w:tcPr>
            <w:tcW w:w="1270" w:type="dxa"/>
            <w:vAlign w:val="center"/>
          </w:tcPr>
          <w:p>
            <w:pPr>
              <w:widowControl/>
              <w:jc w:val="center"/>
              <w:textAlignment w:val="center"/>
              <w:rPr>
                <w:rFonts w:cs="楷体" w:asciiTheme="minorEastAsia" w:hAnsiTheme="minorEastAsia" w:eastAsiaTheme="minorEastAsia"/>
                <w:sz w:val="24"/>
                <w:szCs w:val="24"/>
              </w:rPr>
            </w:pPr>
            <w:r>
              <w:rPr>
                <w:rFonts w:hint="eastAsia" w:cs="楷体" w:asciiTheme="minorEastAsia" w:hAnsiTheme="minorEastAsia" w:eastAsiaTheme="minorEastAsia"/>
                <w:kern w:val="0"/>
                <w:sz w:val="24"/>
                <w:szCs w:val="24"/>
                <w:lang w:bidi="ar"/>
              </w:rPr>
              <w:t>2斤以上</w:t>
            </w:r>
          </w:p>
        </w:tc>
        <w:tc>
          <w:tcPr>
            <w:tcW w:w="855"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斤</w:t>
            </w:r>
          </w:p>
        </w:tc>
        <w:tc>
          <w:tcPr>
            <w:tcW w:w="1321"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1000</w:t>
            </w:r>
          </w:p>
        </w:tc>
        <w:tc>
          <w:tcPr>
            <w:tcW w:w="11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4.50</w:t>
            </w: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71"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4</w:t>
            </w:r>
          </w:p>
        </w:tc>
        <w:tc>
          <w:tcPr>
            <w:tcW w:w="1181" w:type="dxa"/>
            <w:vAlign w:val="center"/>
          </w:tcPr>
          <w:p>
            <w:pPr>
              <w:widowControl/>
              <w:jc w:val="center"/>
              <w:textAlignment w:val="center"/>
              <w:rPr>
                <w:rFonts w:cs="楷体" w:asciiTheme="minorEastAsia" w:hAnsiTheme="minorEastAsia" w:eastAsiaTheme="minorEastAsia"/>
                <w:sz w:val="24"/>
                <w:szCs w:val="24"/>
              </w:rPr>
            </w:pPr>
            <w:r>
              <w:rPr>
                <w:rFonts w:hint="eastAsia" w:cs="楷体" w:asciiTheme="minorEastAsia" w:hAnsiTheme="minorEastAsia" w:eastAsiaTheme="minorEastAsia"/>
                <w:kern w:val="0"/>
                <w:sz w:val="24"/>
                <w:szCs w:val="24"/>
                <w:lang w:bidi="ar"/>
              </w:rPr>
              <w:t>灰鲢（俗称花鲢）</w:t>
            </w:r>
          </w:p>
        </w:tc>
        <w:tc>
          <w:tcPr>
            <w:tcW w:w="1270" w:type="dxa"/>
            <w:vAlign w:val="center"/>
          </w:tcPr>
          <w:p>
            <w:pPr>
              <w:widowControl/>
              <w:jc w:val="center"/>
              <w:textAlignment w:val="center"/>
              <w:rPr>
                <w:rFonts w:cs="楷体" w:asciiTheme="minorEastAsia" w:hAnsiTheme="minorEastAsia" w:eastAsiaTheme="minorEastAsia"/>
                <w:sz w:val="24"/>
                <w:szCs w:val="24"/>
              </w:rPr>
            </w:pPr>
            <w:r>
              <w:rPr>
                <w:rFonts w:hint="eastAsia" w:cs="楷体" w:asciiTheme="minorEastAsia" w:hAnsiTheme="minorEastAsia" w:eastAsiaTheme="minorEastAsia"/>
                <w:kern w:val="0"/>
                <w:sz w:val="24"/>
                <w:szCs w:val="24"/>
                <w:lang w:bidi="ar"/>
              </w:rPr>
              <w:t>3斤以上</w:t>
            </w:r>
          </w:p>
        </w:tc>
        <w:tc>
          <w:tcPr>
            <w:tcW w:w="855"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斤</w:t>
            </w:r>
          </w:p>
        </w:tc>
        <w:tc>
          <w:tcPr>
            <w:tcW w:w="1321"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500</w:t>
            </w:r>
          </w:p>
        </w:tc>
        <w:tc>
          <w:tcPr>
            <w:tcW w:w="11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8.00</w:t>
            </w: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71"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w:t>
            </w:r>
          </w:p>
        </w:tc>
        <w:tc>
          <w:tcPr>
            <w:tcW w:w="1181" w:type="dxa"/>
            <w:vAlign w:val="center"/>
          </w:tcPr>
          <w:p>
            <w:pPr>
              <w:widowControl/>
              <w:jc w:val="center"/>
              <w:textAlignment w:val="center"/>
              <w:rPr>
                <w:rFonts w:cs="楷体" w:asciiTheme="minorEastAsia" w:hAnsiTheme="minorEastAsia" w:eastAsiaTheme="minorEastAsia"/>
                <w:sz w:val="24"/>
                <w:szCs w:val="24"/>
              </w:rPr>
            </w:pPr>
            <w:r>
              <w:rPr>
                <w:rFonts w:hint="eastAsia" w:cs="楷体" w:asciiTheme="minorEastAsia" w:hAnsiTheme="minorEastAsia" w:eastAsiaTheme="minorEastAsia"/>
                <w:kern w:val="0"/>
                <w:sz w:val="24"/>
                <w:szCs w:val="24"/>
                <w:lang w:bidi="ar"/>
              </w:rPr>
              <w:t>鲫鱼</w:t>
            </w:r>
          </w:p>
        </w:tc>
        <w:tc>
          <w:tcPr>
            <w:tcW w:w="1270" w:type="dxa"/>
            <w:vAlign w:val="center"/>
          </w:tcPr>
          <w:p>
            <w:pPr>
              <w:widowControl/>
              <w:jc w:val="center"/>
              <w:textAlignment w:val="center"/>
              <w:rPr>
                <w:rFonts w:cs="楷体" w:asciiTheme="minorEastAsia" w:hAnsiTheme="minorEastAsia" w:eastAsiaTheme="minorEastAsia"/>
                <w:sz w:val="24"/>
                <w:szCs w:val="24"/>
              </w:rPr>
            </w:pPr>
            <w:r>
              <w:rPr>
                <w:rFonts w:hint="eastAsia" w:cs="楷体" w:asciiTheme="minorEastAsia" w:hAnsiTheme="minorEastAsia" w:eastAsiaTheme="minorEastAsia"/>
                <w:kern w:val="0"/>
                <w:sz w:val="24"/>
                <w:szCs w:val="24"/>
                <w:lang w:bidi="ar"/>
              </w:rPr>
              <w:t>3两-半斤</w:t>
            </w:r>
          </w:p>
        </w:tc>
        <w:tc>
          <w:tcPr>
            <w:tcW w:w="855"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斤</w:t>
            </w:r>
          </w:p>
        </w:tc>
        <w:tc>
          <w:tcPr>
            <w:tcW w:w="1321" w:type="dxa"/>
            <w:vAlign w:val="center"/>
          </w:tcPr>
          <w:p>
            <w:pPr>
              <w:spacing w:line="28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500</w:t>
            </w:r>
          </w:p>
        </w:tc>
        <w:tc>
          <w:tcPr>
            <w:tcW w:w="1166"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16.00</w:t>
            </w: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52" w:type="dxa"/>
            <w:gridSpan w:val="2"/>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合计</w:t>
            </w:r>
          </w:p>
        </w:tc>
        <w:tc>
          <w:tcPr>
            <w:tcW w:w="1270" w:type="dxa"/>
            <w:vAlign w:val="center"/>
          </w:tcPr>
          <w:p>
            <w:pPr>
              <w:jc w:val="center"/>
              <w:rPr>
                <w:rFonts w:asciiTheme="minorEastAsia" w:hAnsiTheme="minorEastAsia" w:eastAsiaTheme="minorEastAsia"/>
                <w:sz w:val="24"/>
                <w:szCs w:val="24"/>
              </w:rPr>
            </w:pPr>
          </w:p>
        </w:tc>
        <w:tc>
          <w:tcPr>
            <w:tcW w:w="855" w:type="dxa"/>
            <w:vAlign w:val="center"/>
          </w:tcPr>
          <w:p>
            <w:pPr>
              <w:spacing w:line="280" w:lineRule="exact"/>
              <w:jc w:val="center"/>
              <w:rPr>
                <w:rFonts w:cs="宋体" w:asciiTheme="minorEastAsia" w:hAnsiTheme="minorEastAsia" w:eastAsiaTheme="minorEastAsia"/>
                <w:color w:val="000000"/>
                <w:sz w:val="24"/>
                <w:szCs w:val="24"/>
              </w:rPr>
            </w:pPr>
          </w:p>
        </w:tc>
        <w:tc>
          <w:tcPr>
            <w:tcW w:w="1321" w:type="dxa"/>
            <w:vAlign w:val="center"/>
          </w:tcPr>
          <w:p>
            <w:pPr>
              <w:spacing w:line="280" w:lineRule="exact"/>
              <w:jc w:val="center"/>
              <w:rPr>
                <w:rFonts w:cs="宋体" w:asciiTheme="minorEastAsia" w:hAnsiTheme="minorEastAsia" w:eastAsiaTheme="minorEastAsia"/>
                <w:color w:val="000000"/>
                <w:sz w:val="24"/>
                <w:szCs w:val="24"/>
              </w:rPr>
            </w:pPr>
          </w:p>
        </w:tc>
        <w:tc>
          <w:tcPr>
            <w:tcW w:w="1166"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c>
          <w:tcPr>
            <w:tcW w:w="1382" w:type="dxa"/>
            <w:vAlign w:val="center"/>
          </w:tcPr>
          <w:p>
            <w:pPr>
              <w:autoSpaceDE w:val="0"/>
              <w:autoSpaceDN w:val="0"/>
              <w:adjustRightInd w:val="0"/>
              <w:jc w:val="center"/>
              <w:rPr>
                <w:rFonts w:cs="宋体" w:asciiTheme="minorEastAsia" w:hAnsiTheme="minorEastAsia" w:eastAsiaTheme="minorEastAsia"/>
                <w:sz w:val="24"/>
                <w:szCs w:val="24"/>
                <w:lang w:val="zh-CN"/>
              </w:rPr>
            </w:pPr>
          </w:p>
        </w:tc>
      </w:tr>
    </w:tbl>
    <w:p>
      <w:pPr>
        <w:autoSpaceDE w:val="0"/>
        <w:autoSpaceDN w:val="0"/>
        <w:adjustRightInd w:val="0"/>
        <w:spacing w:line="40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pPr>
        <w:autoSpaceDE w:val="0"/>
        <w:autoSpaceDN w:val="0"/>
        <w:adjustRightInd w:val="0"/>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autoSpaceDE w:val="0"/>
        <w:autoSpaceDN w:val="0"/>
        <w:adjustRightInd w:val="0"/>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pPr>
        <w:autoSpaceDE w:val="0"/>
        <w:autoSpaceDN w:val="0"/>
        <w:adjustRightInd w:val="0"/>
        <w:spacing w:line="400" w:lineRule="exact"/>
        <w:ind w:firstLine="480" w:firstLineChars="200"/>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autoSpaceDE w:val="0"/>
        <w:autoSpaceDN w:val="0"/>
        <w:adjustRightInd w:val="0"/>
        <w:spacing w:line="400" w:lineRule="exact"/>
        <w:ind w:firstLine="420" w:firstLineChars="200"/>
        <w:rPr>
          <w:rFonts w:ascii="宋体" w:hAnsi="Arial" w:cs="宋体"/>
          <w:szCs w:val="21"/>
        </w:rPr>
      </w:pPr>
    </w:p>
    <w:p>
      <w:pPr>
        <w:autoSpaceDE w:val="0"/>
        <w:autoSpaceDN w:val="0"/>
        <w:adjustRightInd w:val="0"/>
        <w:spacing w:line="400" w:lineRule="exact"/>
        <w:ind w:firstLine="420" w:firstLineChars="200"/>
        <w:rPr>
          <w:rFonts w:ascii="宋体" w:hAnsi="Arial" w:cs="宋体"/>
          <w:szCs w:val="21"/>
        </w:rPr>
      </w:pPr>
    </w:p>
    <w:p>
      <w:pPr>
        <w:autoSpaceDE w:val="0"/>
        <w:autoSpaceDN w:val="0"/>
        <w:adjustRightInd w:val="0"/>
        <w:spacing w:line="4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0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0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4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可行性实施方案、项目重点难点分析、应急处理工作方案和预案、违约承诺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40</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41</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5B5"/>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6FA7"/>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5844"/>
    <w:rsid w:val="00194DA6"/>
    <w:rsid w:val="001959AD"/>
    <w:rsid w:val="001A2729"/>
    <w:rsid w:val="001A539F"/>
    <w:rsid w:val="001A7CED"/>
    <w:rsid w:val="001B0C14"/>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1F7A"/>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099F"/>
    <w:rsid w:val="003D1076"/>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38E"/>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18F"/>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76CDB"/>
    <w:rsid w:val="00682318"/>
    <w:rsid w:val="00684CFC"/>
    <w:rsid w:val="00685CFF"/>
    <w:rsid w:val="00686F0A"/>
    <w:rsid w:val="006870C4"/>
    <w:rsid w:val="00687370"/>
    <w:rsid w:val="00696B5B"/>
    <w:rsid w:val="0069712D"/>
    <w:rsid w:val="006971F5"/>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0D9E"/>
    <w:rsid w:val="00745D7D"/>
    <w:rsid w:val="007513D2"/>
    <w:rsid w:val="00752D56"/>
    <w:rsid w:val="00752E5E"/>
    <w:rsid w:val="00763F71"/>
    <w:rsid w:val="00764EB2"/>
    <w:rsid w:val="00765124"/>
    <w:rsid w:val="007666FD"/>
    <w:rsid w:val="0076734A"/>
    <w:rsid w:val="0077559B"/>
    <w:rsid w:val="00776315"/>
    <w:rsid w:val="00776994"/>
    <w:rsid w:val="0077761A"/>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663D6"/>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21FCF"/>
    <w:rsid w:val="00924225"/>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0B7B"/>
    <w:rsid w:val="00A03D1B"/>
    <w:rsid w:val="00A068FB"/>
    <w:rsid w:val="00A07330"/>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4C40"/>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E6A0E"/>
    <w:rsid w:val="00BF2144"/>
    <w:rsid w:val="00BF4DF2"/>
    <w:rsid w:val="00BF73C2"/>
    <w:rsid w:val="00BF77C9"/>
    <w:rsid w:val="00C00640"/>
    <w:rsid w:val="00C02038"/>
    <w:rsid w:val="00C036E0"/>
    <w:rsid w:val="00C03DD3"/>
    <w:rsid w:val="00C05FB9"/>
    <w:rsid w:val="00C1345D"/>
    <w:rsid w:val="00C1593A"/>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1D22"/>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1524"/>
    <w:rsid w:val="00D63E66"/>
    <w:rsid w:val="00D6446D"/>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2F43"/>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303D"/>
    <w:rsid w:val="00EF46D1"/>
    <w:rsid w:val="00EF4A49"/>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7C35693"/>
    <w:rsid w:val="08BF40AC"/>
    <w:rsid w:val="08CE22D8"/>
    <w:rsid w:val="099A468B"/>
    <w:rsid w:val="0A875C10"/>
    <w:rsid w:val="0AF3628F"/>
    <w:rsid w:val="0B363250"/>
    <w:rsid w:val="0B9C2483"/>
    <w:rsid w:val="0BE36D47"/>
    <w:rsid w:val="0C4C20FB"/>
    <w:rsid w:val="0CD820F1"/>
    <w:rsid w:val="0CE25200"/>
    <w:rsid w:val="0D5E1B07"/>
    <w:rsid w:val="0DE079F5"/>
    <w:rsid w:val="0E545297"/>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B5B4C69"/>
    <w:rsid w:val="1CB776FC"/>
    <w:rsid w:val="1EEC2B86"/>
    <w:rsid w:val="1EF651FF"/>
    <w:rsid w:val="1F262338"/>
    <w:rsid w:val="1F550AAE"/>
    <w:rsid w:val="21010D55"/>
    <w:rsid w:val="21D94E59"/>
    <w:rsid w:val="224156DA"/>
    <w:rsid w:val="230230BC"/>
    <w:rsid w:val="23984280"/>
    <w:rsid w:val="253B0B07"/>
    <w:rsid w:val="257449AC"/>
    <w:rsid w:val="2790205B"/>
    <w:rsid w:val="27E86D24"/>
    <w:rsid w:val="288D3427"/>
    <w:rsid w:val="28C54DCD"/>
    <w:rsid w:val="28CE4005"/>
    <w:rsid w:val="29170DC4"/>
    <w:rsid w:val="29F9354B"/>
    <w:rsid w:val="2A73489F"/>
    <w:rsid w:val="2C5C33A3"/>
    <w:rsid w:val="2CE455E0"/>
    <w:rsid w:val="2CF73A01"/>
    <w:rsid w:val="2E1524DD"/>
    <w:rsid w:val="2E6115DE"/>
    <w:rsid w:val="301B0ADB"/>
    <w:rsid w:val="308B2942"/>
    <w:rsid w:val="32285F6F"/>
    <w:rsid w:val="3266677F"/>
    <w:rsid w:val="32ED521C"/>
    <w:rsid w:val="33194D87"/>
    <w:rsid w:val="348F6779"/>
    <w:rsid w:val="349B3370"/>
    <w:rsid w:val="36061271"/>
    <w:rsid w:val="360D3DFA"/>
    <w:rsid w:val="36146F36"/>
    <w:rsid w:val="377939F2"/>
    <w:rsid w:val="38AA5930"/>
    <w:rsid w:val="392626C6"/>
    <w:rsid w:val="3943735F"/>
    <w:rsid w:val="39965260"/>
    <w:rsid w:val="3A4D0C68"/>
    <w:rsid w:val="3B003F2D"/>
    <w:rsid w:val="3EA347C1"/>
    <w:rsid w:val="3EBC63BD"/>
    <w:rsid w:val="3EDD5BC4"/>
    <w:rsid w:val="3F051B12"/>
    <w:rsid w:val="40384169"/>
    <w:rsid w:val="409645C0"/>
    <w:rsid w:val="40B04500"/>
    <w:rsid w:val="40CA3013"/>
    <w:rsid w:val="40F736DC"/>
    <w:rsid w:val="425828D1"/>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B74C3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9DA1397"/>
    <w:rsid w:val="5B1769FD"/>
    <w:rsid w:val="5BCD355F"/>
    <w:rsid w:val="5BDE751B"/>
    <w:rsid w:val="5C4B03E3"/>
    <w:rsid w:val="5C4C0928"/>
    <w:rsid w:val="5C9D2F32"/>
    <w:rsid w:val="5D630203"/>
    <w:rsid w:val="5D90675D"/>
    <w:rsid w:val="5DBA3C92"/>
    <w:rsid w:val="5E5771CD"/>
    <w:rsid w:val="5E991CA2"/>
    <w:rsid w:val="5F4B3119"/>
    <w:rsid w:val="5F592BF4"/>
    <w:rsid w:val="5FE86BBA"/>
    <w:rsid w:val="61252D89"/>
    <w:rsid w:val="61C0584D"/>
    <w:rsid w:val="64835103"/>
    <w:rsid w:val="64AF414A"/>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871A5"/>
    <w:rsid w:val="72ED635E"/>
    <w:rsid w:val="73090EC9"/>
    <w:rsid w:val="73F73418"/>
    <w:rsid w:val="740A4908"/>
    <w:rsid w:val="74B5137A"/>
    <w:rsid w:val="74B530B7"/>
    <w:rsid w:val="769D2054"/>
    <w:rsid w:val="76FB4FCD"/>
    <w:rsid w:val="775D3592"/>
    <w:rsid w:val="782642CC"/>
    <w:rsid w:val="784F06F1"/>
    <w:rsid w:val="786F3453"/>
    <w:rsid w:val="7A1A1E1A"/>
    <w:rsid w:val="7A1C2201"/>
    <w:rsid w:val="7A9E45ED"/>
    <w:rsid w:val="7B657E87"/>
    <w:rsid w:val="7BA93AF9"/>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BDB9-420D-4681-A798-8E6787E64D2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17027</Words>
  <Characters>18034</Characters>
  <Lines>157</Lines>
  <Paragraphs>44</Paragraphs>
  <TotalTime>0</TotalTime>
  <ScaleCrop>false</ScaleCrop>
  <LinksUpToDate>false</LinksUpToDate>
  <CharactersWithSpaces>20769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2024-07-18T02:23:25Z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