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YSHQ2024-ZB-0104</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盐城师范学院2024年春学期食堂大宗食品原料</w:t>
      </w:r>
    </w:p>
    <w:p>
      <w:pPr>
        <w:spacing w:line="700" w:lineRule="exact"/>
        <w:ind w:firstLine="2168" w:firstLineChars="600"/>
        <w:rPr>
          <w:rFonts w:ascii="宋体" w:hAnsi="宋体" w:cs="宋体"/>
          <w:b/>
          <w:bCs/>
          <w:sz w:val="32"/>
          <w:szCs w:val="32"/>
        </w:rPr>
      </w:pPr>
      <w:r>
        <w:rPr>
          <w:rFonts w:hint="eastAsia" w:ascii="宋体" w:hAnsi="宋体" w:cs="宋体"/>
          <w:b/>
          <w:bCs/>
          <w:sz w:val="36"/>
          <w:szCs w:val="36"/>
        </w:rPr>
        <w:t>（调味品、干货、酱菜类）采购项目</w:t>
      </w:r>
    </w:p>
    <w:p>
      <w:pPr>
        <w:autoSpaceDE w:val="0"/>
        <w:autoSpaceDN w:val="0"/>
        <w:adjustRightInd w:val="0"/>
        <w:rPr>
          <w:rFonts w:ascii="宋体" w:cs="宋体"/>
          <w:b/>
          <w:bCs/>
          <w:sz w:val="32"/>
          <w:szCs w:val="32"/>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hint="eastAsia" w:ascii="宋体" w:hAnsi="宋体" w:cs="黑体"/>
          <w:b/>
          <w:sz w:val="36"/>
          <w:szCs w:val="36"/>
          <w:lang w:val="zh-CN"/>
        </w:rPr>
      </w:pPr>
      <w:r>
        <w:rPr>
          <w:rFonts w:hint="eastAsia" w:ascii="宋体" w:hAnsi="宋体" w:cs="黑体"/>
          <w:b/>
          <w:sz w:val="36"/>
          <w:szCs w:val="36"/>
          <w:lang w:val="zh-CN"/>
        </w:rPr>
        <w:t xml:space="preserve"> 2024年1月</w:t>
      </w:r>
      <w:r>
        <w:rPr>
          <w:rFonts w:hint="eastAsia" w:ascii="宋体" w:hAnsi="宋体" w:cs="黑体"/>
          <w:b/>
          <w:sz w:val="36"/>
          <w:szCs w:val="36"/>
          <w:lang w:val="en-US" w:eastAsia="zh-CN"/>
        </w:rPr>
        <w:t>9</w:t>
      </w:r>
      <w:r>
        <w:rPr>
          <w:rFonts w:hint="eastAsia" w:ascii="宋体" w:hAnsi="宋体" w:cs="黑体"/>
          <w:b/>
          <w:sz w:val="36"/>
          <w:szCs w:val="36"/>
          <w:lang w:val="zh-CN"/>
        </w:rPr>
        <w:t>日</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24</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28</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盐城师范学院2024年春学期食堂大宗食品原料（调味品、干货、酱菜类）采购项目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2024年1月30日上午9点00分（北京时间）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YSHQ2024-ZB-0104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盐城师范学院2024年春学期食堂大宗食品原料（调味品、干货、酱菜类）采购项目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2024年2月20日至2024年8月25日；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（2）提供与本项目经营范围相符合的食品经营许可证复印件。</w:t>
      </w:r>
    </w:p>
    <w:p>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：2024年1月30日上午8：30-9：00</w:t>
      </w:r>
      <w:r>
        <w:rPr>
          <w:rFonts w:hint="eastAsia" w:ascii="宋体" w:hAnsi="宋体" w:cs="宋体"/>
          <w:kern w:val="0"/>
          <w:sz w:val="24"/>
          <w:szCs w:val="24"/>
          <w:u w:val="single"/>
        </w:rPr>
        <w:t>；盐城师范学院新长校区后勤综合楼二楼会议室。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2024年1月30日上午9：00</w:t>
      </w:r>
      <w:r>
        <w:rPr>
          <w:rFonts w:hint="eastAsia" w:ascii="宋体" w:hAnsi="宋体" w:cs="宋体"/>
          <w:kern w:val="0"/>
          <w:sz w:val="24"/>
          <w:szCs w:val="24"/>
          <w:u w:val="single"/>
        </w:rPr>
        <w:t>；盐城师范学院新长校区后勤综合楼三楼招标会议室。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bookmarkStart w:id="41" w:name="_GoBack"/>
      <w:bookmarkEnd w:id="41"/>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35393627"/>
      <w:bookmarkStart w:id="2" w:name="_Toc28359085"/>
      <w:bookmarkStart w:id="3" w:name="_Toc35393796"/>
      <w:bookmarkStart w:id="4" w:name="_Toc28359008"/>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郑老师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bCs/>
          <w:kern w:val="0"/>
          <w:sz w:val="24"/>
          <w:szCs w:val="24"/>
          <w:u w:val="single"/>
        </w:rPr>
        <w:t>13805102273</w:t>
      </w:r>
      <w:r>
        <w:rPr>
          <w:rFonts w:hint="eastAsia" w:ascii="宋体" w:hAnsi="宋体" w:cs="宋体"/>
          <w:kern w:val="0"/>
          <w:sz w:val="24"/>
          <w:szCs w:val="24"/>
          <w:u w:val="single"/>
        </w:rPr>
        <w:t xml:space="preserve">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潘老师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18752220058</w:t>
      </w:r>
      <w:r>
        <w:rPr>
          <w:rFonts w:hint="eastAsia" w:ascii="宋体" w:hAnsi="宋体" w:cs="Dotum"/>
          <w:kern w:val="0"/>
          <w:sz w:val="24"/>
          <w:szCs w:val="24"/>
          <w:u w:val="single"/>
        </w:rPr>
        <w:t xml:space="preserve">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相关工作人员处进行信息实名登记，进入校园后须全程佩戴口罩。</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5520" w:firstLineChars="2300"/>
        <w:rPr>
          <w:rStyle w:val="37"/>
          <w:rFonts w:ascii="宋体" w:hAnsi="宋体"/>
          <w:sz w:val="24"/>
        </w:rPr>
      </w:pPr>
      <w:r>
        <w:rPr>
          <w:rStyle w:val="37"/>
          <w:rFonts w:hint="eastAsia" w:ascii="宋体" w:hAnsi="宋体"/>
          <w:sz w:val="24"/>
        </w:rPr>
        <w:t>2024年1月</w:t>
      </w:r>
      <w:r>
        <w:rPr>
          <w:rStyle w:val="37"/>
          <w:rFonts w:hint="eastAsia" w:ascii="宋体" w:hAnsi="宋体"/>
          <w:sz w:val="24"/>
          <w:lang w:val="en-US" w:eastAsia="zh-CN"/>
        </w:rPr>
        <w:t>9</w:t>
      </w:r>
      <w:r>
        <w:rPr>
          <w:rStyle w:val="37"/>
          <w:rFonts w:hint="eastAsia" w:ascii="宋体" w:hAnsi="宋体"/>
          <w:sz w:val="24"/>
        </w:rPr>
        <w:t>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招标报价采用总承包方式，投标人的报价应包括所投产品费用、采购、储存、分装、运输、配送、检验、售后服务、管理费、利润、税金及其他为完成本合同服务所发生的一切费用，招标文件中另有规定的除外。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155527169"/>
      <w:bookmarkStart w:id="30" w:name="_Toc47629327"/>
      <w:bookmarkStart w:id="31" w:name="_Toc47629959"/>
      <w:r>
        <w:rPr>
          <w:rFonts w:hint="eastAsia" w:ascii="宋体" w:hAnsi="宋体"/>
          <w:b/>
          <w:color w:val="000000"/>
          <w:sz w:val="44"/>
          <w:szCs w:val="44"/>
        </w:rPr>
        <w:t>第三章  合同条款及格式</w:t>
      </w:r>
      <w:bookmarkEnd w:id="29"/>
      <w:bookmarkEnd w:id="30"/>
      <w:bookmarkEnd w:id="31"/>
    </w:p>
    <w:p>
      <w:pPr>
        <w:spacing w:line="52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甲乙双方根据盐城师范学院2024年春学期食堂大宗食品原料（调味品、干货、酱菜类）采购项目公开招标的结果，签署本合同。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一、货物名称：调味品、干货、酱菜类</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二、合同期限：2024年2月20日至2024年8月25日。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调味品、干货、酱菜类质量符合国家相关产品质量标准，符合国家各级强制性规范的要求，且配送的货物质量不得低于投标时提供的样品质量标准。</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b/>
          <w:color w:val="000000"/>
          <w:kern w:val="0"/>
          <w:sz w:val="24"/>
          <w:szCs w:val="24"/>
        </w:rPr>
      </w:pPr>
      <w:r>
        <w:rPr>
          <w:rFonts w:hint="eastAsia" w:ascii="宋体" w:hAnsi="宋体" w:cs="宋体"/>
          <w:sz w:val="24"/>
          <w:szCs w:val="24"/>
        </w:rPr>
        <w:t>四</w:t>
      </w:r>
      <w:r>
        <w:rPr>
          <w:rFonts w:hint="eastAsia" w:ascii="宋体" w:hAnsi="宋体" w:cs="宋体"/>
          <w:kern w:val="0"/>
          <w:sz w:val="24"/>
          <w:szCs w:val="24"/>
        </w:rPr>
        <w:t>、履约保证金：履约保证金共计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rPr>
        <w:t xml:space="preserve"> </w:t>
      </w:r>
      <w:r>
        <w:rPr>
          <w:rFonts w:hint="eastAsia" w:ascii="宋体" w:hAnsi="宋体" w:cs="宋体"/>
          <w:sz w:val="24"/>
          <w:szCs w:val="24"/>
        </w:rPr>
        <w:t>乙方把指定货物送至甲方各食堂所在楼层，通榆校区食堂：南园一楼、北园一楼、北园二楼、北园三楼；新长校区食堂：沁园一楼、沁园二楼、沁园三楼、萃园一楼、萃园二楼、萃园三楼。送货时间：定货次日送达。</w:t>
      </w:r>
    </w:p>
    <w:p>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r>
        <w:rPr>
          <w:rFonts w:cs="宋体"/>
          <w:color w:val="000000"/>
          <w:kern w:val="0"/>
          <w:sz w:val="24"/>
          <w:szCs w:val="24"/>
        </w:rPr>
        <w:br w:type="page"/>
      </w:r>
    </w:p>
    <w:tbl>
      <w:tblPr>
        <w:tblStyle w:val="15"/>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473"/>
        <w:gridCol w:w="1819"/>
        <w:gridCol w:w="230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2473" w:type="dxa"/>
            <w:vAlign w:val="center"/>
          </w:tcPr>
          <w:p>
            <w:pPr>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名称</w:t>
            </w:r>
          </w:p>
        </w:tc>
        <w:tc>
          <w:tcPr>
            <w:tcW w:w="1819"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品牌</w:t>
            </w:r>
          </w:p>
        </w:tc>
        <w:tc>
          <w:tcPr>
            <w:tcW w:w="2307"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商品规格</w:t>
            </w:r>
          </w:p>
        </w:tc>
        <w:tc>
          <w:tcPr>
            <w:tcW w:w="1644" w:type="dxa"/>
            <w:vAlign w:val="center"/>
          </w:tcPr>
          <w:p>
            <w:pPr>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单价（元/斤）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绵白糖</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甘福源</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50kg/袋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砂糖</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广东</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50kg/袋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豆瓣酱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川妞</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6kg/箱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豆豉酱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老干妈</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280g*24瓶/箱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黄豆酱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6kg*2桶/箱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香辣酱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天车</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350g*24瓶/箱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甜面酱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天车</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500g*12瓶/箱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麻辣鲜</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王守义</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46g*110袋/箱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海鲜酱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7kg*2桶/箱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番茄酱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风球唛</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850g*12听/箱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清真番茄酱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西部红</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3kg*6听/箱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纯芝麻油</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燕庄</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398ml*12瓶/箱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蒸鱼豉油</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中蓝</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1.9L*6壶/箱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蚝油</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6kg*2桶/箱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食盐</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淮牌</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400g*50袋/箱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味精</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滕花</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25kg/袋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鸡精</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桃源乐</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900g*10袋/箱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清真鸡精</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桃源乐</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900g*10袋/箱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南乳汁</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鼎丰</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560ml*12瓶/箱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火锅底料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百信</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150g*60袋/箱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三五底料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三五</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150g*60袋/箱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排骨汤料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桃源乐</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908g*10袋/箱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胡椒粉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亚洁</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花椒（好）</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无籽无盐辣椒段</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1000g/袋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辣椒粉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粗椒粉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细椒粉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五香粉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十三香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王守义</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45g*100盒/箱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孜然粉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桂皮</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八角</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白芷</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咖喱粉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剁椒</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湘妹</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2kg*6桶/箱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香醋（袋）</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恒顺</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340ml*30袋/箱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香醋（瓶）</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恒顺</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550ml*12瓶/箱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白醋</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镇江金焦</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500ml*12瓶/箱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海天老抽</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1.9L*6壶/箱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生抽</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1.9L*6壶/箱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老抽</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味美家</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2.5L*6壶/箱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料酒</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味美家</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5L*4壶/箱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酵母</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喜福来</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500g*20只/箱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泡打粉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钻星</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500g*20袋/箱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小苏打</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山花</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150g*100袋/箱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炒饭香料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面包糠</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前黄</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750g*10袋/箱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特味浓奥尔良腌制料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特味浓</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1kg*20袋/箱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黄焖鸡酱料</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新青大</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3kg/桶</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食用碱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山花</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150g*100袋/箱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淀粉</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恒仁</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25kg/袋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泰式甜辣酱</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德生</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655g*12瓶/箱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米醋</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双鱼</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250ml*40袋/箱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红曲米</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干灯笼椒</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重庆小面</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新青大</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1kg*10瓶/箱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方便面</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双宇</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2.8kg/箱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无核红枣</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红枣</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10kg/箱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葡萄干</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梅干菜</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慈晟</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干香菇</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林彦达</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干木耳</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林彦达</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银耳</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林彦达</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66</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肉松</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益鹏</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2.5kg*6袋/箱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67</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红油片</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杨荣</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68</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榨菜丝</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老彭</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69</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酸菜</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四阿哥</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70</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鱼酸菜</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三极禾</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71</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雪菜</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杨天</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72</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多味雪菜</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杨荣</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8.5kg/箱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73</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菜脯王</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永超</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4.5kg/箱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74</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小米辣</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阿倩嫂</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2kg*6袋/箱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75</w:t>
            </w:r>
          </w:p>
        </w:tc>
        <w:tc>
          <w:tcPr>
            <w:tcW w:w="2473"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泡豇豆</w:t>
            </w:r>
          </w:p>
        </w:tc>
        <w:tc>
          <w:tcPr>
            <w:tcW w:w="1819"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四阿哥</w:t>
            </w:r>
          </w:p>
        </w:tc>
        <w:tc>
          <w:tcPr>
            <w:tcW w:w="2307"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1kg*10袋/箱</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76</w:t>
            </w:r>
          </w:p>
        </w:tc>
        <w:tc>
          <w:tcPr>
            <w:tcW w:w="2473" w:type="dxa"/>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米线</w:t>
            </w:r>
          </w:p>
        </w:tc>
        <w:tc>
          <w:tcPr>
            <w:tcW w:w="1819" w:type="dxa"/>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王仁和</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25㎏/袋</w:t>
            </w:r>
          </w:p>
        </w:tc>
        <w:tc>
          <w:tcPr>
            <w:tcW w:w="1644" w:type="dxa"/>
            <w:vAlign w:val="center"/>
          </w:tcPr>
          <w:p>
            <w:pPr>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77</w:t>
            </w:r>
          </w:p>
        </w:tc>
        <w:tc>
          <w:tcPr>
            <w:tcW w:w="2473" w:type="dxa"/>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粉丝</w:t>
            </w:r>
          </w:p>
        </w:tc>
        <w:tc>
          <w:tcPr>
            <w:tcW w:w="1819" w:type="dxa"/>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柳絮</w:t>
            </w:r>
          </w:p>
        </w:tc>
        <w:tc>
          <w:tcPr>
            <w:tcW w:w="2307"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5㎏/袋</w:t>
            </w:r>
          </w:p>
        </w:tc>
        <w:tc>
          <w:tcPr>
            <w:tcW w:w="1644" w:type="dxa"/>
            <w:vAlign w:val="center"/>
          </w:tcPr>
          <w:p>
            <w:pPr>
              <w:jc w:val="center"/>
              <w:rPr>
                <w:rFonts w:cs="宋体" w:asciiTheme="minorEastAsia" w:hAnsiTheme="minorEastAsia" w:eastAsiaTheme="minorEastAsia"/>
                <w:color w:val="000000"/>
                <w:szCs w:val="21"/>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2.乙方应严格按招标文件规定的质量标准和投标时提供的样品质量标准进行供货。甲方将退回不达标货物,并扣收履约保证金200—2000元/次,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spacing w:line="440" w:lineRule="exact"/>
        <w:ind w:firstLine="480" w:firstLineChars="200"/>
        <w:rPr>
          <w:rFonts w:ascii="宋体" w:hAnsi="宋体"/>
          <w:bCs/>
          <w:sz w:val="24"/>
          <w:szCs w:val="24"/>
        </w:rPr>
      </w:pP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1、招标内容：调味品、干货、酱菜类；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2、预计采购量：100吨。“预计采购量”仅作为投标参考量，不作为合同履约依据，如有政策性扶贫任务，采购量将依据要求减少，最终以招标人实际采购量为准。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二、质量、验收标准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1、所供货物必须达到国家相应标准。实际供货时，质量要求要高于或等于提供的样品（如需提供样品）。 </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2、投标人应按招标人计划要求，按本文件规定的品种、规格、质量提供成品食品原料。包装类食品产品送达日剩余保质期天数须大于产品总保质期2/3的天数，否则招标方有权拒绝收货。</w:t>
      </w:r>
    </w:p>
    <w:p>
      <w:pPr>
        <w:spacing w:line="480" w:lineRule="exact"/>
        <w:ind w:firstLine="480" w:firstLineChars="200"/>
        <w:rPr>
          <w:rFonts w:ascii="宋体" w:hAnsi="宋体" w:cs="宋体"/>
          <w:b/>
          <w:sz w:val="24"/>
          <w:szCs w:val="24"/>
        </w:rPr>
      </w:pPr>
      <w:r>
        <w:rPr>
          <w:rFonts w:hint="eastAsia" w:ascii="宋体" w:hAnsi="宋体" w:cs="宋体"/>
          <w:kern w:val="0"/>
          <w:sz w:val="24"/>
          <w:szCs w:val="24"/>
        </w:rPr>
        <w:t>3、投标人所提供的食品、产品必须安全无害，符合国家规定标准。</w:t>
      </w:r>
    </w:p>
    <w:p>
      <w:pPr>
        <w:spacing w:line="480" w:lineRule="exact"/>
        <w:jc w:val="center"/>
        <w:rPr>
          <w:rFonts w:ascii="宋体" w:hAnsi="宋体" w:cs="宋体"/>
          <w:b/>
          <w:sz w:val="24"/>
          <w:szCs w:val="24"/>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47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23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综合投标报价（即所有产品小计价格的总和作为综合投标报价）最低的有效综合投标报价为评标基准价，其价格分为满分，其他投标人的价格分按下列公式计算：投标报价得分＝（评标基准价/综合投标报价）×60（四舍五入后保留小数点后两位）</w:t>
            </w:r>
          </w:p>
        </w:tc>
      </w:tr>
      <w:tr>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自2021年1月1日至投标截止日止，投标人具有与本项目内容相匹配的类似项目业绩，每份得2分。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882" w:hRule="atLeast"/>
          <w:jc w:val="center"/>
        </w:trPr>
        <w:tc>
          <w:tcPr>
            <w:tcW w:w="1736" w:type="dxa"/>
            <w:vMerge w:val="continue"/>
            <w:tcBorders>
              <w:left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投标人具有有效期内相关的原材料生产厂家进货代理协议或经销授权委托书，每提供1份厂家证明材料得1分。</w:t>
            </w:r>
            <w:r>
              <w:rPr>
                <w:rFonts w:hint="eastAsia" w:ascii="宋体" w:hAnsi="宋体"/>
                <w:b/>
                <w:sz w:val="24"/>
                <w:szCs w:val="24"/>
              </w:rPr>
              <w:t>本项最多得5分</w:t>
            </w:r>
            <w:r>
              <w:rPr>
                <w:rFonts w:hint="eastAsia" w:ascii="宋体" w:hAnsi="宋体"/>
                <w:sz w:val="24"/>
                <w:szCs w:val="24"/>
              </w:rPr>
              <w:t>。</w:t>
            </w:r>
          </w:p>
          <w:p>
            <w:pPr>
              <w:ind w:firstLine="480" w:firstLineChars="200"/>
              <w:rPr>
                <w:rFonts w:ascii="宋体" w:hAnsi="宋体" w:cs="楷体"/>
                <w:sz w:val="24"/>
                <w:szCs w:val="24"/>
              </w:rPr>
            </w:pPr>
            <w:r>
              <w:rPr>
                <w:rFonts w:hint="eastAsia" w:ascii="宋体" w:hAnsi="宋体"/>
                <w:sz w:val="24"/>
                <w:szCs w:val="24"/>
              </w:rPr>
              <w:t>厂家证明材料加盖投标人公章。</w:t>
            </w:r>
          </w:p>
        </w:tc>
      </w:tr>
      <w:tr>
        <w:tblPrEx>
          <w:tblCellMar>
            <w:top w:w="0" w:type="dxa"/>
            <w:left w:w="108" w:type="dxa"/>
            <w:bottom w:w="0" w:type="dxa"/>
            <w:right w:w="108" w:type="dxa"/>
          </w:tblCellMar>
        </w:tblPrEx>
        <w:trPr>
          <w:trHeight w:val="1896" w:hRule="atLeast"/>
          <w:jc w:val="center"/>
        </w:trPr>
        <w:tc>
          <w:tcPr>
            <w:tcW w:w="1736"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投标人有配送车辆，每有一辆得3分，</w:t>
            </w:r>
            <w:r>
              <w:rPr>
                <w:rFonts w:hint="eastAsia" w:ascii="宋体" w:hAnsi="宋体"/>
                <w:b/>
                <w:sz w:val="24"/>
                <w:szCs w:val="24"/>
              </w:rPr>
              <w:t>本项最多得5分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sz w:val="24"/>
                <w:szCs w:val="24"/>
              </w:rPr>
            </w:pPr>
            <w:r>
              <w:rPr>
                <w:rFonts w:hint="eastAsia" w:ascii="宋体" w:hAnsi="宋体"/>
                <w:sz w:val="24"/>
                <w:szCs w:val="24"/>
              </w:rPr>
              <w:t>照片和复印件加盖投标人公章。</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3528" w:hRule="atLeast"/>
          <w:jc w:val="center"/>
        </w:trPr>
        <w:tc>
          <w:tcPr>
            <w:tcW w:w="1736"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满足以上三项要求得9分，满足以上两项要求得6分，满足一项得3分，其它情况不得分。格式自拟，加盖投标人公章。</w:t>
            </w:r>
          </w:p>
        </w:tc>
      </w:tr>
      <w:tr>
        <w:tblPrEx>
          <w:tblCellMar>
            <w:top w:w="0" w:type="dxa"/>
            <w:left w:w="108" w:type="dxa"/>
            <w:bottom w:w="0" w:type="dxa"/>
            <w:right w:w="108" w:type="dxa"/>
          </w:tblCellMar>
        </w:tblPrEx>
        <w:trPr>
          <w:trHeight w:val="3110" w:hRule="atLeast"/>
          <w:jc w:val="center"/>
        </w:trPr>
        <w:tc>
          <w:tcPr>
            <w:tcW w:w="1736" w:type="dxa"/>
            <w:vMerge w:val="continue"/>
            <w:tcBorders>
              <w:left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二、项目重点难点分析</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w:t>
            </w:r>
            <w:r>
              <w:rPr>
                <w:rFonts w:ascii="宋体" w:hAnsi="宋体"/>
                <w:sz w:val="24"/>
                <w:szCs w:val="24"/>
              </w:rPr>
              <w:t>应对措施</w:t>
            </w:r>
            <w:r>
              <w:rPr>
                <w:rFonts w:hint="eastAsia" w:ascii="宋体" w:hAnsi="宋体"/>
                <w:sz w:val="24"/>
                <w:szCs w:val="24"/>
              </w:rPr>
              <w:t>、</w:t>
            </w:r>
            <w:r>
              <w:rPr>
                <w:rFonts w:ascii="宋体" w:hAnsi="宋体"/>
                <w:sz w:val="24"/>
                <w:szCs w:val="24"/>
              </w:rPr>
              <w:t>合理化建议</w:t>
            </w:r>
            <w:r>
              <w:rPr>
                <w:rFonts w:hint="eastAsia" w:ascii="宋体" w:hAnsi="宋体"/>
                <w:sz w:val="24"/>
                <w:szCs w:val="24"/>
              </w:rPr>
              <w:t>。</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（1）项目重点难点分析全面准确；</w:t>
            </w:r>
          </w:p>
          <w:p>
            <w:pPr>
              <w:ind w:firstLine="480" w:firstLineChars="200"/>
              <w:rPr>
                <w:rFonts w:ascii="宋体" w:hAnsi="宋体"/>
                <w:sz w:val="24"/>
                <w:szCs w:val="24"/>
              </w:rPr>
            </w:pPr>
            <w:r>
              <w:rPr>
                <w:rFonts w:hint="eastAsia" w:ascii="宋体" w:hAnsi="宋体"/>
                <w:sz w:val="24"/>
                <w:szCs w:val="24"/>
              </w:rPr>
              <w:t>（2）项目应对措施及合理化建议清晰；</w:t>
            </w:r>
          </w:p>
          <w:p>
            <w:pPr>
              <w:ind w:firstLine="480" w:firstLineChars="200"/>
              <w:rPr>
                <w:rFonts w:ascii="宋体" w:hAnsi="宋体"/>
                <w:sz w:val="24"/>
                <w:szCs w:val="24"/>
              </w:rPr>
            </w:pPr>
            <w:r>
              <w:rPr>
                <w:rFonts w:hint="eastAsia" w:ascii="宋体" w:hAnsi="宋体"/>
                <w:sz w:val="24"/>
                <w:szCs w:val="24"/>
              </w:rPr>
              <w:t>（3）项目应对措施及合理化建议可操作性强；</w:t>
            </w:r>
          </w:p>
          <w:p>
            <w:pPr>
              <w:ind w:firstLine="480" w:firstLineChars="200"/>
              <w:rPr>
                <w:rFonts w:ascii="宋体" w:hAnsi="宋体"/>
                <w:sz w:val="24"/>
                <w:szCs w:val="24"/>
              </w:rPr>
            </w:pPr>
            <w:r>
              <w:rPr>
                <w:rFonts w:hint="eastAsia" w:ascii="宋体" w:hAnsi="宋体"/>
                <w:sz w:val="24"/>
                <w:szCs w:val="24"/>
              </w:rPr>
              <w:t>满足以上三项要求得6分，满足以上两项要求得4分，满足一项得分2分，其它情况不得分。格式自拟，加盖投标人公章。</w:t>
            </w:r>
          </w:p>
        </w:tc>
      </w:tr>
      <w:tr>
        <w:tblPrEx>
          <w:tblCellMar>
            <w:top w:w="0" w:type="dxa"/>
            <w:left w:w="108" w:type="dxa"/>
            <w:bottom w:w="0" w:type="dxa"/>
            <w:right w:w="108" w:type="dxa"/>
          </w:tblCellMar>
        </w:tblPrEx>
        <w:trPr>
          <w:trHeight w:val="2829" w:hRule="atLeast"/>
          <w:jc w:val="center"/>
        </w:trPr>
        <w:tc>
          <w:tcPr>
            <w:tcW w:w="1736" w:type="dxa"/>
            <w:vMerge w:val="continue"/>
            <w:tcBorders>
              <w:left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w:t>
            </w:r>
            <w:r>
              <w:rPr>
                <w:rFonts w:ascii="宋体" w:hAnsi="宋体"/>
                <w:b/>
                <w:sz w:val="24"/>
                <w:szCs w:val="24"/>
              </w:rPr>
              <w:t>应急处理</w:t>
            </w:r>
            <w:r>
              <w:rPr>
                <w:rFonts w:hint="eastAsia" w:ascii="宋体" w:hAnsi="宋体"/>
                <w:b/>
                <w:sz w:val="24"/>
                <w:szCs w:val="24"/>
              </w:rPr>
              <w:t>工作</w:t>
            </w:r>
            <w:r>
              <w:rPr>
                <w:rFonts w:ascii="宋体" w:hAnsi="宋体"/>
                <w:b/>
                <w:sz w:val="24"/>
                <w:szCs w:val="24"/>
              </w:rPr>
              <w:t>方案</w:t>
            </w:r>
            <w:r>
              <w:rPr>
                <w:rFonts w:hint="eastAsia" w:ascii="宋体" w:hAnsi="宋体"/>
                <w:b/>
                <w:sz w:val="24"/>
                <w:szCs w:val="24"/>
              </w:rPr>
              <w:t>和预案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ascii="宋体" w:hAnsi="宋体"/>
                <w:sz w:val="24"/>
                <w:szCs w:val="24"/>
              </w:rPr>
              <w:t>投标人提供</w:t>
            </w:r>
            <w:r>
              <w:rPr>
                <w:rFonts w:hint="eastAsia" w:ascii="宋体" w:hAnsi="宋体"/>
                <w:sz w:val="24"/>
                <w:szCs w:val="24"/>
              </w:rPr>
              <w:t>完备</w:t>
            </w:r>
            <w:r>
              <w:rPr>
                <w:rFonts w:ascii="宋体" w:hAnsi="宋体"/>
                <w:sz w:val="24"/>
                <w:szCs w:val="24"/>
              </w:rPr>
              <w:t>的物流配送、食品安全等方面的应急处理</w:t>
            </w:r>
            <w:r>
              <w:rPr>
                <w:rFonts w:hint="eastAsia" w:ascii="宋体" w:hAnsi="宋体"/>
                <w:sz w:val="24"/>
                <w:szCs w:val="24"/>
              </w:rPr>
              <w:t>工作</w:t>
            </w:r>
            <w:r>
              <w:rPr>
                <w:rFonts w:ascii="宋体" w:hAnsi="宋体"/>
                <w:sz w:val="24"/>
                <w:szCs w:val="24"/>
              </w:rPr>
              <w:t>方案</w:t>
            </w:r>
            <w:r>
              <w:rPr>
                <w:rFonts w:hint="eastAsia" w:ascii="宋体" w:hAnsi="宋体"/>
                <w:sz w:val="24"/>
                <w:szCs w:val="24"/>
              </w:rPr>
              <w:t>、预案。</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（1）物流配送应急处理的工作方案详细、科学、合理；</w:t>
            </w:r>
          </w:p>
          <w:p>
            <w:pPr>
              <w:ind w:firstLine="480" w:firstLineChars="200"/>
              <w:rPr>
                <w:rFonts w:ascii="宋体" w:hAnsi="宋体"/>
                <w:sz w:val="24"/>
                <w:szCs w:val="24"/>
              </w:rPr>
            </w:pPr>
            <w:r>
              <w:rPr>
                <w:rFonts w:hint="eastAsia" w:ascii="宋体" w:hAnsi="宋体"/>
                <w:sz w:val="24"/>
                <w:szCs w:val="24"/>
              </w:rPr>
              <w:t>（2）食品安全应急处理的工作方案详细、科学、合理；</w:t>
            </w:r>
          </w:p>
          <w:p>
            <w:pPr>
              <w:ind w:firstLine="480" w:firstLineChars="200"/>
              <w:rPr>
                <w:rFonts w:ascii="宋体" w:hAnsi="宋体"/>
                <w:sz w:val="24"/>
                <w:szCs w:val="24"/>
              </w:rPr>
            </w:pPr>
            <w:r>
              <w:rPr>
                <w:rFonts w:hint="eastAsia" w:ascii="宋体" w:hAnsi="宋体"/>
                <w:sz w:val="24"/>
                <w:szCs w:val="24"/>
              </w:rPr>
              <w:t>满足以上两项要求得2分，满足以上一项要求得1分，其它情况不得分。格式自拟，加盖投标人公章。</w:t>
            </w:r>
          </w:p>
        </w:tc>
      </w:tr>
      <w:tr>
        <w:tblPrEx>
          <w:tblCellMar>
            <w:top w:w="0" w:type="dxa"/>
            <w:left w:w="108" w:type="dxa"/>
            <w:bottom w:w="0" w:type="dxa"/>
            <w:right w:w="108" w:type="dxa"/>
          </w:tblCellMar>
        </w:tblPrEx>
        <w:trPr>
          <w:trHeight w:val="2958" w:hRule="atLeast"/>
          <w:jc w:val="center"/>
        </w:trPr>
        <w:tc>
          <w:tcPr>
            <w:tcW w:w="1736"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四、违约承诺</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color w:val="FF0000"/>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color w:val="FF0000"/>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满足以上三项要求得3分，满足以上两项要求得2分，满足一项得1分，其它情况不得分。格式自拟，加盖投标人公章。</w:t>
            </w:r>
          </w:p>
        </w:tc>
      </w:tr>
    </w:tbl>
    <w:p>
      <w:r>
        <w:br w:type="page"/>
      </w:r>
    </w:p>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二、实质性要求和条件响应对照表（如有）</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w:t>
      </w:r>
      <w:r>
        <w:rPr>
          <w:rFonts w:hint="eastAsia" w:ascii="宋体" w:cs="宋体"/>
          <w:sz w:val="24"/>
          <w:szCs w:val="24"/>
        </w:rPr>
        <w:t>和</w:t>
      </w:r>
      <w:r>
        <w:rPr>
          <w:rFonts w:hint="eastAsia" w:ascii="宋体" w:cs="宋体"/>
          <w:sz w:val="24"/>
          <w:szCs w:val="24"/>
          <w:lang w:val="zh-CN"/>
        </w:rPr>
        <w:t>预案、违约承诺</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r>
              <w:rPr>
                <w:rFonts w:hint="eastAsia" w:ascii="宋体" w:hAnsi="宋体"/>
                <w:iCs/>
                <w:sz w:val="24"/>
                <w:szCs w:val="24"/>
              </w:rPr>
              <w:t>未被“信用中国”网站</w:t>
            </w:r>
          </w:p>
          <w:p>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3969"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985"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3969" w:type="dxa"/>
            <w:vAlign w:val="center"/>
          </w:tcPr>
          <w:p>
            <w:pPr>
              <w:snapToGrid w:val="0"/>
              <w:ind w:firstLine="480" w:firstLineChars="200"/>
              <w:jc w:val="center"/>
              <w:rPr>
                <w:rFonts w:ascii="宋体" w:hAnsi="宋体"/>
                <w:iCs/>
                <w:sz w:val="24"/>
                <w:szCs w:val="24"/>
              </w:rPr>
            </w:pPr>
          </w:p>
        </w:tc>
        <w:tc>
          <w:tcPr>
            <w:tcW w:w="1985" w:type="dxa"/>
            <w:vAlign w:val="center"/>
          </w:tcPr>
          <w:p>
            <w:pPr>
              <w:ind w:firstLine="482" w:firstLineChars="200"/>
              <w:jc w:val="center"/>
              <w:rPr>
                <w:rFonts w:ascii="宋体" w:hAnsi="宋体"/>
                <w:b/>
                <w:sz w:val="24"/>
                <w:szCs w:val="21"/>
              </w:rPr>
            </w:pPr>
          </w:p>
        </w:tc>
        <w:tc>
          <w:tcPr>
            <w:tcW w:w="2787"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3969"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24"/>
                <w:szCs w:val="24"/>
              </w:rPr>
            </w:pPr>
            <w:r>
              <w:rPr>
                <w:rFonts w:hint="eastAsia" w:ascii="宋体" w:hAnsi="宋体"/>
                <w:sz w:val="24"/>
                <w:szCs w:val="24"/>
              </w:rPr>
              <w:t>综合投标报价</w:t>
            </w:r>
          </w:p>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（即所有产品小计价格的总和作为综合投标报价）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328"/>
        <w:gridCol w:w="850"/>
        <w:gridCol w:w="1366"/>
        <w:gridCol w:w="1159"/>
        <w:gridCol w:w="1181"/>
        <w:gridCol w:w="1867"/>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7"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序号</w:t>
            </w:r>
          </w:p>
        </w:tc>
        <w:tc>
          <w:tcPr>
            <w:tcW w:w="1328"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名称</w:t>
            </w:r>
          </w:p>
        </w:tc>
        <w:tc>
          <w:tcPr>
            <w:tcW w:w="850"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指导</w:t>
            </w:r>
          </w:p>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品牌</w:t>
            </w:r>
          </w:p>
        </w:tc>
        <w:tc>
          <w:tcPr>
            <w:tcW w:w="1366"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商品规格</w:t>
            </w:r>
          </w:p>
        </w:tc>
        <w:tc>
          <w:tcPr>
            <w:tcW w:w="1159"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预计采购量（斤）</w:t>
            </w:r>
          </w:p>
        </w:tc>
        <w:tc>
          <w:tcPr>
            <w:tcW w:w="1181"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最高限价（元/斤）</w:t>
            </w:r>
          </w:p>
        </w:tc>
        <w:tc>
          <w:tcPr>
            <w:tcW w:w="1867"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投标单价（元/斤）</w:t>
            </w:r>
          </w:p>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（小数点后2位）</w:t>
            </w:r>
          </w:p>
        </w:tc>
        <w:tc>
          <w:tcPr>
            <w:tcW w:w="1176"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绵白糖</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甘福源</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50kg/袋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3.98</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砂糖</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广东</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50kg/袋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4.10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豆瓣酱</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川妞</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6kg/箱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6600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4.58</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豆豉酱</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老干妈</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280g*24瓶/箱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500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16.36</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黄豆酱</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6kg*2桶/箱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5.20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香辣酱</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天车</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350g*24瓶/箱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420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13.10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甜面酱</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天车</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500g*12瓶/箱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180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9.58</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8</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麻辣鲜</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王守义</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46g*110袋/箱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15.80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9</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海鲜酱</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7kg*2桶/箱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5040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4.64</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10</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番茄酱</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风球唛</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850g*12听/箱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2200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6.86</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11</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清真番茄酱</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西部红</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3kg*6听/箱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6480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5.14</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12</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纯芝麻油</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燕庄</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398ml*12瓶/箱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688</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25.60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13</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蒸鱼豉油</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中蓝</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1.9L*6壶/箱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1700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6.36</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14</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蚝油</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6kg*2桶/箱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3840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3.13</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15</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食盐</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淮牌</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400g*50袋/箱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15200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1.13</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16</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味精</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滕花</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25kg/袋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10500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5.70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17</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鸡精</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桃源乐</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900g*10袋/箱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4140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11.39</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18</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清真鸡精</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桃源乐</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900g*10袋/箱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390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11.39</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19</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南乳汁</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鼎丰</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560ml*12瓶/箱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215</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7.44</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20</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火锅底料</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百信</w:t>
            </w:r>
          </w:p>
        </w:tc>
        <w:tc>
          <w:tcPr>
            <w:tcW w:w="1366"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150g*60袋/箱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900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15.83</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21</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三五底料</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三五</w:t>
            </w:r>
          </w:p>
        </w:tc>
        <w:tc>
          <w:tcPr>
            <w:tcW w:w="1366"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150g*60袋/箱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1044</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15.55</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22</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排骨汤料</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桃源乐</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908g*10袋/箱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1800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7.98</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23</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胡椒粉</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亚洁</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330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45.00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24</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花椒（好）</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180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45.00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25</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无籽无盐辣椒段</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1000g/袋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16.00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26</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辣椒粉</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348</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27</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粗椒粉</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28</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细椒粉</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108</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29</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五香粉</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120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25.00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30</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十三香</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王守义</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45g*100盒/箱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270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33.33</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31</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孜然粉</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28.00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32</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桂皮</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70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15.00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33</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八角</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260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45.00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34</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白芷</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30.00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35</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咖喱粉</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10.00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36</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剁椒</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湘妹</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2kg*6桶/箱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2.71</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37</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香醋（袋）</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恒顺</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340ml*30袋/箱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4700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2.70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38</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香醋（瓶）</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恒顺</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550ml*12瓶/箱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568</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5.90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39</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白醋</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镇江金焦</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500ml*12瓶/箱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900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2.92</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40</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海天老抽</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1366"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1.9L*6壶/箱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1900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4.30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41</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生抽</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海天</w:t>
            </w:r>
          </w:p>
        </w:tc>
        <w:tc>
          <w:tcPr>
            <w:tcW w:w="1366"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1.9L*6壶/箱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4800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3.51</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42</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老抽</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味美家</w:t>
            </w:r>
          </w:p>
        </w:tc>
        <w:tc>
          <w:tcPr>
            <w:tcW w:w="1366"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2.5L*6壶/箱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3600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3.17</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43</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料酒</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味美家</w:t>
            </w:r>
          </w:p>
        </w:tc>
        <w:tc>
          <w:tcPr>
            <w:tcW w:w="1366"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5L*4壶/箱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1.75</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44</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酵母</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喜福来</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500g*20只/箱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560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14.00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45</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泡打粉</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钻星</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500g*20袋/箱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10.00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46</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小苏打</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山花</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150g*100袋/箱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6.00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47</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炒饭香料</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15.00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48</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面包糠</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前黄</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750g*10袋/箱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4.33</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49</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特味浓奥尔良腌制料</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特味浓</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1kg*20袋/箱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2720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10.25</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50</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黄焖鸡酱料</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新青大</w:t>
            </w:r>
          </w:p>
        </w:tc>
        <w:tc>
          <w:tcPr>
            <w:tcW w:w="1366"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3kg/桶</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1680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10.00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51</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食用碱</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山花</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150g*100袋/箱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6.00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52</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淀粉</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恒仁</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25kg/袋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4250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2.40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53</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泰式甜辣酱</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德生</w:t>
            </w:r>
          </w:p>
        </w:tc>
        <w:tc>
          <w:tcPr>
            <w:tcW w:w="1366"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655g*12瓶/箱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157</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4.77</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54</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米醋</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双鱼</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250ml*40袋/箱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55</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红曲米</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12.00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56</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干灯笼椒</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年年宏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35.00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57</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重庆小面</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新青大</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1kg*10瓶/箱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2400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19.00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58</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方便面</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双宇</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2.8kg/箱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8400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3.40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59</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无核红枣</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7.5kg/箱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13.00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60</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红枣</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10kg/箱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9.00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61</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葡萄干</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新疆</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7.5kg/箱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12.00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62</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梅干菜</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慈晟</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11.00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63</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干香菇</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林彦达</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340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42.00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64</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干木耳</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林彦达</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660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42.00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65</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银耳</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林彦达</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500g/袋</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150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35.00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66</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肉松</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益鹏</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2.5kg*6袋/箱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1200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10.00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67</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红油片</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杨荣</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8kg/箱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2.80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68</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榨菜丝</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老彭</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5kg/箱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700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3.80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69</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酸菜</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四阿哥</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6000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1.25</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70</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鱼酸菜</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三极禾</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1.25</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71</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雪菜</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杨天</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7.5kg/箱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6300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2.20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72</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多味雪菜</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杨荣</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8.5kg/箱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170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3.23</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73</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菜脯王</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永超</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4.5kg/箱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4.20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74</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小米辣</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阿倩嫂</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2kg*6袋/箱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1200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1.88</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75</w:t>
            </w:r>
          </w:p>
        </w:tc>
        <w:tc>
          <w:tcPr>
            <w:tcW w:w="1328"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泡豇豆</w:t>
            </w:r>
          </w:p>
        </w:tc>
        <w:tc>
          <w:tcPr>
            <w:tcW w:w="850"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四阿哥</w:t>
            </w:r>
          </w:p>
        </w:tc>
        <w:tc>
          <w:tcPr>
            <w:tcW w:w="1366" w:type="dxa"/>
            <w:vAlign w:val="center"/>
          </w:tcPr>
          <w:p>
            <w:pPr>
              <w:jc w:val="center"/>
              <w:rPr>
                <w:rFonts w:cs="Arial" w:asciiTheme="minorEastAsia" w:hAnsiTheme="minorEastAsia" w:eastAsiaTheme="minorEastAsia"/>
                <w:szCs w:val="21"/>
              </w:rPr>
            </w:pPr>
            <w:r>
              <w:rPr>
                <w:rFonts w:cs="Arial" w:asciiTheme="minorEastAsia" w:hAnsiTheme="minorEastAsia" w:eastAsiaTheme="minorEastAsia"/>
                <w:szCs w:val="21"/>
              </w:rPr>
              <w:t>1kg*10袋/箱</w:t>
            </w:r>
          </w:p>
        </w:tc>
        <w:tc>
          <w:tcPr>
            <w:tcW w:w="1159" w:type="dxa"/>
            <w:vAlign w:val="center"/>
          </w:tcPr>
          <w:p>
            <w:pPr>
              <w:widowControl/>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600</w:t>
            </w:r>
          </w:p>
        </w:tc>
        <w:tc>
          <w:tcPr>
            <w:tcW w:w="1181" w:type="dxa"/>
            <w:vAlign w:val="center"/>
          </w:tcPr>
          <w:p>
            <w:pPr>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1.80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76</w:t>
            </w:r>
          </w:p>
        </w:tc>
        <w:tc>
          <w:tcPr>
            <w:tcW w:w="1328"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米线</w:t>
            </w:r>
          </w:p>
        </w:tc>
        <w:tc>
          <w:tcPr>
            <w:tcW w:w="850"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王仁和</w:t>
            </w:r>
          </w:p>
        </w:tc>
        <w:tc>
          <w:tcPr>
            <w:tcW w:w="1366" w:type="dxa"/>
            <w:vAlign w:val="center"/>
          </w:tcPr>
          <w:p>
            <w:pPr>
              <w:widowControl/>
              <w:jc w:val="center"/>
              <w:textAlignment w:val="center"/>
              <w:rPr>
                <w:rFonts w:ascii="宋体" w:hAnsi="宋体" w:cs="宋体"/>
                <w:kern w:val="0"/>
                <w:szCs w:val="21"/>
                <w:lang w:bidi="ar"/>
              </w:rPr>
            </w:pPr>
          </w:p>
        </w:tc>
        <w:tc>
          <w:tcPr>
            <w:tcW w:w="1159"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1000</w:t>
            </w:r>
          </w:p>
        </w:tc>
        <w:tc>
          <w:tcPr>
            <w:tcW w:w="1181"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3.50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7" w:type="dxa"/>
            <w:vAlign w:val="center"/>
          </w:tcPr>
          <w:p>
            <w:pPr>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77</w:t>
            </w:r>
          </w:p>
        </w:tc>
        <w:tc>
          <w:tcPr>
            <w:tcW w:w="1328"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粉丝</w:t>
            </w:r>
          </w:p>
        </w:tc>
        <w:tc>
          <w:tcPr>
            <w:tcW w:w="850"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柳絮</w:t>
            </w:r>
          </w:p>
        </w:tc>
        <w:tc>
          <w:tcPr>
            <w:tcW w:w="1366" w:type="dxa"/>
            <w:vAlign w:val="center"/>
          </w:tcPr>
          <w:p>
            <w:pPr>
              <w:widowControl/>
              <w:jc w:val="center"/>
              <w:textAlignment w:val="center"/>
              <w:rPr>
                <w:rFonts w:ascii="宋体" w:hAnsi="宋体" w:cs="宋体"/>
                <w:kern w:val="0"/>
                <w:szCs w:val="21"/>
                <w:lang w:bidi="ar"/>
              </w:rPr>
            </w:pPr>
          </w:p>
        </w:tc>
        <w:tc>
          <w:tcPr>
            <w:tcW w:w="1159"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2000</w:t>
            </w:r>
          </w:p>
        </w:tc>
        <w:tc>
          <w:tcPr>
            <w:tcW w:w="1181" w:type="dxa"/>
            <w:vAlign w:val="center"/>
          </w:tcPr>
          <w:p>
            <w:pPr>
              <w:spacing w:line="240" w:lineRule="exact"/>
              <w:jc w:val="center"/>
              <w:rPr>
                <w:rFonts w:ascii="宋体" w:hAnsi="宋体" w:cs="宋体"/>
                <w:szCs w:val="21"/>
              </w:rPr>
            </w:pPr>
            <w:r>
              <w:rPr>
                <w:rFonts w:hint="eastAsia" w:ascii="宋体" w:hAnsi="宋体" w:cs="宋体"/>
                <w:szCs w:val="21"/>
              </w:rPr>
              <w:t>5.50</w:t>
            </w: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85" w:type="dxa"/>
            <w:gridSpan w:val="2"/>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合  计</w:t>
            </w:r>
          </w:p>
        </w:tc>
        <w:tc>
          <w:tcPr>
            <w:tcW w:w="850" w:type="dxa"/>
            <w:vAlign w:val="center"/>
          </w:tcPr>
          <w:p>
            <w:pPr>
              <w:jc w:val="center"/>
              <w:rPr>
                <w:rFonts w:cs="宋体" w:asciiTheme="minorEastAsia" w:hAnsiTheme="minorEastAsia" w:eastAsiaTheme="minorEastAsia"/>
                <w:szCs w:val="21"/>
              </w:rPr>
            </w:pPr>
          </w:p>
        </w:tc>
        <w:tc>
          <w:tcPr>
            <w:tcW w:w="1366" w:type="dxa"/>
            <w:vAlign w:val="center"/>
          </w:tcPr>
          <w:p>
            <w:pPr>
              <w:jc w:val="center"/>
              <w:rPr>
                <w:rFonts w:cs="宋体" w:asciiTheme="minorEastAsia" w:hAnsiTheme="minorEastAsia" w:eastAsiaTheme="minorEastAsia"/>
                <w:szCs w:val="21"/>
              </w:rPr>
            </w:pPr>
          </w:p>
        </w:tc>
        <w:tc>
          <w:tcPr>
            <w:tcW w:w="1159" w:type="dxa"/>
            <w:vAlign w:val="center"/>
          </w:tcPr>
          <w:p>
            <w:pPr>
              <w:jc w:val="center"/>
              <w:rPr>
                <w:rFonts w:cs="宋体" w:asciiTheme="minorEastAsia" w:hAnsiTheme="minorEastAsia" w:eastAsiaTheme="minorEastAsia"/>
                <w:szCs w:val="21"/>
              </w:rPr>
            </w:pPr>
          </w:p>
        </w:tc>
        <w:tc>
          <w:tcPr>
            <w:tcW w:w="1181" w:type="dxa"/>
            <w:vAlign w:val="center"/>
          </w:tcPr>
          <w:p>
            <w:pPr>
              <w:jc w:val="center"/>
              <w:rPr>
                <w:rFonts w:cs="宋体" w:asciiTheme="minorEastAsia" w:hAnsiTheme="minorEastAsia" w:eastAsiaTheme="minorEastAsia"/>
                <w:szCs w:val="21"/>
              </w:rPr>
            </w:pPr>
          </w:p>
        </w:tc>
        <w:tc>
          <w:tcPr>
            <w:tcW w:w="1867" w:type="dxa"/>
            <w:vAlign w:val="center"/>
          </w:tcPr>
          <w:p>
            <w:pPr>
              <w:jc w:val="center"/>
              <w:rPr>
                <w:rFonts w:cs="宋体" w:asciiTheme="minorEastAsia" w:hAnsiTheme="minorEastAsia" w:eastAsiaTheme="minorEastAsia"/>
                <w:szCs w:val="21"/>
              </w:rPr>
            </w:pPr>
          </w:p>
        </w:tc>
        <w:tc>
          <w:tcPr>
            <w:tcW w:w="1176" w:type="dxa"/>
            <w:vAlign w:val="center"/>
          </w:tcPr>
          <w:p>
            <w:pPr>
              <w:jc w:val="center"/>
              <w:rPr>
                <w:rFonts w:cs="宋体" w:asciiTheme="minorEastAsia" w:hAnsiTheme="minorEastAsia" w:eastAsiaTheme="minorEastAsia"/>
                <w:szCs w:val="21"/>
              </w:rPr>
            </w:pPr>
          </w:p>
        </w:tc>
      </w:tr>
    </w:tbl>
    <w:p>
      <w:pPr>
        <w:autoSpaceDE w:val="0"/>
        <w:autoSpaceDN w:val="0"/>
        <w:adjustRightInd w:val="0"/>
        <w:spacing w:line="340" w:lineRule="exact"/>
        <w:ind w:firstLine="420" w:firstLineChars="200"/>
        <w:rPr>
          <w:rFonts w:ascii="宋体" w:hAnsi="宋体" w:cs="宋体"/>
          <w:color w:val="000000"/>
          <w:kern w:val="0"/>
          <w:szCs w:val="21"/>
        </w:rPr>
      </w:pPr>
      <w:r>
        <w:rPr>
          <w:rFonts w:hint="eastAsia" w:ascii="宋体" w:hAnsi="宋体" w:cs="宋体"/>
          <w:color w:val="000000"/>
          <w:kern w:val="0"/>
          <w:szCs w:val="21"/>
        </w:rPr>
        <w:t>注：1.所有规格以斤为单位进行报价，换算方式1kg=2斤，1L=2斤，麻油1L=1.84斤。</w:t>
      </w:r>
    </w:p>
    <w:p>
      <w:pPr>
        <w:autoSpaceDE w:val="0"/>
        <w:autoSpaceDN w:val="0"/>
        <w:adjustRightInd w:val="0"/>
        <w:spacing w:line="340" w:lineRule="exact"/>
        <w:ind w:firstLine="420" w:firstLineChars="200"/>
        <w:rPr>
          <w:rFonts w:ascii="宋体" w:hAnsi="宋体" w:cs="宋体"/>
          <w:color w:val="000000"/>
          <w:kern w:val="0"/>
          <w:szCs w:val="21"/>
        </w:rPr>
      </w:pPr>
      <w:r>
        <w:rPr>
          <w:rFonts w:hint="eastAsia" w:ascii="宋体" w:hAnsi="宋体" w:cs="宋体"/>
          <w:color w:val="000000"/>
          <w:kern w:val="0"/>
          <w:szCs w:val="21"/>
        </w:rPr>
        <w:t>2.投标人报价不得高于最高限价，否则为无效报价。</w:t>
      </w:r>
    </w:p>
    <w:p>
      <w:pPr>
        <w:autoSpaceDE w:val="0"/>
        <w:autoSpaceDN w:val="0"/>
        <w:adjustRightInd w:val="0"/>
        <w:spacing w:line="340" w:lineRule="exact"/>
        <w:ind w:firstLine="420" w:firstLineChars="200"/>
        <w:rPr>
          <w:rFonts w:ascii="宋体" w:hAnsi="Arial" w:cs="宋体"/>
          <w:szCs w:val="21"/>
        </w:rPr>
      </w:pPr>
      <w:r>
        <w:rPr>
          <w:rFonts w:hint="eastAsia" w:ascii="宋体" w:hAnsi="宋体" w:cs="宋体"/>
          <w:color w:val="000000"/>
          <w:kern w:val="0"/>
          <w:szCs w:val="21"/>
        </w:rPr>
        <w:t>3.供货期内价格不得调整。</w:t>
      </w:r>
    </w:p>
    <w:p>
      <w:pPr>
        <w:autoSpaceDE w:val="0"/>
        <w:autoSpaceDN w:val="0"/>
        <w:adjustRightInd w:val="0"/>
        <w:spacing w:line="340" w:lineRule="exact"/>
        <w:ind w:firstLine="420" w:firstLineChars="200"/>
        <w:rPr>
          <w:rFonts w:ascii="宋体" w:hAnsi="Arial" w:cs="宋体"/>
          <w:szCs w:val="21"/>
        </w:rPr>
      </w:pPr>
      <w:r>
        <w:rPr>
          <w:rFonts w:hint="eastAsia" w:ascii="宋体" w:hAnsi="Arial" w:cs="宋体"/>
          <w:szCs w:val="21"/>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公章、签字，违反任何一项均以废标处理。</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w:t>
      </w:r>
      <w:r>
        <w:rPr>
          <w:rFonts w:hint="eastAsia" w:ascii="宋体" w:hAnsi="宋体" w:cs="黑体"/>
          <w:b/>
          <w:sz w:val="32"/>
          <w:szCs w:val="32"/>
        </w:rPr>
        <w:t>和</w:t>
      </w:r>
      <w:r>
        <w:rPr>
          <w:rFonts w:hint="eastAsia" w:ascii="宋体" w:hAnsi="宋体" w:cs="黑体"/>
          <w:b/>
          <w:sz w:val="32"/>
          <w:szCs w:val="32"/>
          <w:lang w:val="zh-CN"/>
        </w:rPr>
        <w:t>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19</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44</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45</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OTZiYjg5ZDg1ZTQyMDJjMTQwZmExZDJhNDQzYTIifQ=="/>
  </w:docVars>
  <w:rsids>
    <w:rsidRoot w:val="002479F9"/>
    <w:rsid w:val="00001E59"/>
    <w:rsid w:val="00005A9C"/>
    <w:rsid w:val="00006091"/>
    <w:rsid w:val="00007EF1"/>
    <w:rsid w:val="00013777"/>
    <w:rsid w:val="00015E0B"/>
    <w:rsid w:val="00017F29"/>
    <w:rsid w:val="00023EB3"/>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4E3E"/>
    <w:rsid w:val="000A6ADE"/>
    <w:rsid w:val="000B41DE"/>
    <w:rsid w:val="000B4856"/>
    <w:rsid w:val="000B4EF8"/>
    <w:rsid w:val="000B5165"/>
    <w:rsid w:val="000B761E"/>
    <w:rsid w:val="000C18E1"/>
    <w:rsid w:val="000C2C48"/>
    <w:rsid w:val="000D0B12"/>
    <w:rsid w:val="000D0FF2"/>
    <w:rsid w:val="000D2DD4"/>
    <w:rsid w:val="000D38E7"/>
    <w:rsid w:val="000D5014"/>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0ECE"/>
    <w:rsid w:val="001519EC"/>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1C04"/>
    <w:rsid w:val="002125B1"/>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4C60"/>
    <w:rsid w:val="002A5036"/>
    <w:rsid w:val="002B074C"/>
    <w:rsid w:val="002B371E"/>
    <w:rsid w:val="002B538C"/>
    <w:rsid w:val="002B70A8"/>
    <w:rsid w:val="002C1852"/>
    <w:rsid w:val="002C672B"/>
    <w:rsid w:val="002D422D"/>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AEE"/>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3F85"/>
    <w:rsid w:val="003B42E3"/>
    <w:rsid w:val="003B5E0A"/>
    <w:rsid w:val="003B628B"/>
    <w:rsid w:val="003C2B6E"/>
    <w:rsid w:val="003C5A23"/>
    <w:rsid w:val="003C78E8"/>
    <w:rsid w:val="003D13B0"/>
    <w:rsid w:val="003D4C6D"/>
    <w:rsid w:val="003D770E"/>
    <w:rsid w:val="003E43C4"/>
    <w:rsid w:val="003E4A5E"/>
    <w:rsid w:val="003E6292"/>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3745"/>
    <w:rsid w:val="00474638"/>
    <w:rsid w:val="00474D3D"/>
    <w:rsid w:val="00475A40"/>
    <w:rsid w:val="00477A41"/>
    <w:rsid w:val="00483D5C"/>
    <w:rsid w:val="004841DF"/>
    <w:rsid w:val="00485A55"/>
    <w:rsid w:val="00485D3B"/>
    <w:rsid w:val="004924AB"/>
    <w:rsid w:val="004A2056"/>
    <w:rsid w:val="004A507F"/>
    <w:rsid w:val="004A7329"/>
    <w:rsid w:val="004B04B7"/>
    <w:rsid w:val="004B0583"/>
    <w:rsid w:val="004B0F0A"/>
    <w:rsid w:val="004B2866"/>
    <w:rsid w:val="004B3A60"/>
    <w:rsid w:val="004B61E8"/>
    <w:rsid w:val="004C0589"/>
    <w:rsid w:val="004C1C93"/>
    <w:rsid w:val="004C2E99"/>
    <w:rsid w:val="004D093A"/>
    <w:rsid w:val="004D2E70"/>
    <w:rsid w:val="004D50DB"/>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2790"/>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1BB1"/>
    <w:rsid w:val="006A1F37"/>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90FC9"/>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1E5D"/>
    <w:rsid w:val="009025DB"/>
    <w:rsid w:val="009031F6"/>
    <w:rsid w:val="00904058"/>
    <w:rsid w:val="00907CF6"/>
    <w:rsid w:val="00910EA7"/>
    <w:rsid w:val="00915B2B"/>
    <w:rsid w:val="009210A8"/>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33C"/>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2BA4"/>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4023"/>
    <w:rsid w:val="00AB62EA"/>
    <w:rsid w:val="00AB67B3"/>
    <w:rsid w:val="00AC00B8"/>
    <w:rsid w:val="00AC2D9A"/>
    <w:rsid w:val="00AC2FE4"/>
    <w:rsid w:val="00AC5454"/>
    <w:rsid w:val="00AC5EFD"/>
    <w:rsid w:val="00AC6AF2"/>
    <w:rsid w:val="00AD0510"/>
    <w:rsid w:val="00AD4065"/>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8DB"/>
    <w:rsid w:val="00BB6BDD"/>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09AC"/>
    <w:rsid w:val="00C6151B"/>
    <w:rsid w:val="00C66BA6"/>
    <w:rsid w:val="00C71AD1"/>
    <w:rsid w:val="00C75E8C"/>
    <w:rsid w:val="00C77351"/>
    <w:rsid w:val="00C83104"/>
    <w:rsid w:val="00C8733A"/>
    <w:rsid w:val="00C924B3"/>
    <w:rsid w:val="00C95DEA"/>
    <w:rsid w:val="00CA084A"/>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543"/>
    <w:rsid w:val="00D9490B"/>
    <w:rsid w:val="00D94E49"/>
    <w:rsid w:val="00D94E5E"/>
    <w:rsid w:val="00D94EFF"/>
    <w:rsid w:val="00D96938"/>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E6868"/>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314"/>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62CF"/>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5421"/>
    <w:rsid w:val="00FF54F8"/>
    <w:rsid w:val="00FF58D9"/>
    <w:rsid w:val="018A5D41"/>
    <w:rsid w:val="01E45FB7"/>
    <w:rsid w:val="02415C62"/>
    <w:rsid w:val="02872629"/>
    <w:rsid w:val="03312CC4"/>
    <w:rsid w:val="035058C7"/>
    <w:rsid w:val="035E0DBD"/>
    <w:rsid w:val="03F86B1C"/>
    <w:rsid w:val="04784D87"/>
    <w:rsid w:val="060317A8"/>
    <w:rsid w:val="07C35693"/>
    <w:rsid w:val="08BF40AC"/>
    <w:rsid w:val="08CE22D8"/>
    <w:rsid w:val="099A468B"/>
    <w:rsid w:val="0A875C10"/>
    <w:rsid w:val="0AF3628F"/>
    <w:rsid w:val="0B363250"/>
    <w:rsid w:val="0BE36D47"/>
    <w:rsid w:val="0C4C20FB"/>
    <w:rsid w:val="0CD820F1"/>
    <w:rsid w:val="0CE25200"/>
    <w:rsid w:val="0D5E1B07"/>
    <w:rsid w:val="0DE079F5"/>
    <w:rsid w:val="0E545297"/>
    <w:rsid w:val="10516D8F"/>
    <w:rsid w:val="106F56A5"/>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EF651FF"/>
    <w:rsid w:val="1F262338"/>
    <w:rsid w:val="1F550AAE"/>
    <w:rsid w:val="21010D55"/>
    <w:rsid w:val="21D94E59"/>
    <w:rsid w:val="224156DA"/>
    <w:rsid w:val="230230BC"/>
    <w:rsid w:val="23984280"/>
    <w:rsid w:val="253A0EF8"/>
    <w:rsid w:val="253B0B07"/>
    <w:rsid w:val="254362D7"/>
    <w:rsid w:val="257449AC"/>
    <w:rsid w:val="2790205B"/>
    <w:rsid w:val="288D3427"/>
    <w:rsid w:val="28C54DCD"/>
    <w:rsid w:val="28CE4005"/>
    <w:rsid w:val="29F9354B"/>
    <w:rsid w:val="2A73489F"/>
    <w:rsid w:val="2C5C33A3"/>
    <w:rsid w:val="2CE455E0"/>
    <w:rsid w:val="2CF73A01"/>
    <w:rsid w:val="2E1524DD"/>
    <w:rsid w:val="301B0ADB"/>
    <w:rsid w:val="308B2942"/>
    <w:rsid w:val="32285F6F"/>
    <w:rsid w:val="32421DBE"/>
    <w:rsid w:val="3266677F"/>
    <w:rsid w:val="32ED521C"/>
    <w:rsid w:val="348F6779"/>
    <w:rsid w:val="36061271"/>
    <w:rsid w:val="360D3DFA"/>
    <w:rsid w:val="377939F2"/>
    <w:rsid w:val="38AA5930"/>
    <w:rsid w:val="392626C6"/>
    <w:rsid w:val="3943735F"/>
    <w:rsid w:val="39965260"/>
    <w:rsid w:val="3A4D0C68"/>
    <w:rsid w:val="3B003F2D"/>
    <w:rsid w:val="3EA347C1"/>
    <w:rsid w:val="3EDD5BC4"/>
    <w:rsid w:val="40384169"/>
    <w:rsid w:val="40B04500"/>
    <w:rsid w:val="40CA3013"/>
    <w:rsid w:val="427B5168"/>
    <w:rsid w:val="42870A90"/>
    <w:rsid w:val="42C13A9F"/>
    <w:rsid w:val="43076514"/>
    <w:rsid w:val="444F1F4F"/>
    <w:rsid w:val="447F7AC2"/>
    <w:rsid w:val="44A1236F"/>
    <w:rsid w:val="44F22F67"/>
    <w:rsid w:val="456B4496"/>
    <w:rsid w:val="493F377B"/>
    <w:rsid w:val="49AA1C33"/>
    <w:rsid w:val="4C9F589F"/>
    <w:rsid w:val="4D1E40A2"/>
    <w:rsid w:val="4DD04FF2"/>
    <w:rsid w:val="4DE01544"/>
    <w:rsid w:val="4E824F2D"/>
    <w:rsid w:val="4F6603AB"/>
    <w:rsid w:val="50B74C36"/>
    <w:rsid w:val="51D27F79"/>
    <w:rsid w:val="52F77B3F"/>
    <w:rsid w:val="53960AF8"/>
    <w:rsid w:val="54824DEE"/>
    <w:rsid w:val="54F86141"/>
    <w:rsid w:val="54F95756"/>
    <w:rsid w:val="553C7B08"/>
    <w:rsid w:val="562A45DB"/>
    <w:rsid w:val="564F41DF"/>
    <w:rsid w:val="565E6B78"/>
    <w:rsid w:val="56C43C09"/>
    <w:rsid w:val="574A2360"/>
    <w:rsid w:val="58307579"/>
    <w:rsid w:val="584D6470"/>
    <w:rsid w:val="5859300C"/>
    <w:rsid w:val="5874204B"/>
    <w:rsid w:val="587578B0"/>
    <w:rsid w:val="5B1769FD"/>
    <w:rsid w:val="5BCD355F"/>
    <w:rsid w:val="5BDE751B"/>
    <w:rsid w:val="5C4B03E3"/>
    <w:rsid w:val="5C4C0928"/>
    <w:rsid w:val="5C9D2F32"/>
    <w:rsid w:val="5D630203"/>
    <w:rsid w:val="5D90675D"/>
    <w:rsid w:val="5DBA3C92"/>
    <w:rsid w:val="5E5771CD"/>
    <w:rsid w:val="5E991CA2"/>
    <w:rsid w:val="5F4B3119"/>
    <w:rsid w:val="5FE86BBA"/>
    <w:rsid w:val="61C0584D"/>
    <w:rsid w:val="64835103"/>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EEE2883"/>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qFormat/>
    <w:uiPriority w:val="99"/>
    <w:pPr>
      <w:autoSpaceDE w:val="0"/>
      <w:autoSpaceDN w:val="0"/>
      <w:adjustRightInd w:val="0"/>
      <w:jc w:val="left"/>
      <w:outlineLvl w:val="2"/>
    </w:pPr>
    <w:rPr>
      <w:kern w:val="0"/>
      <w:sz w:val="24"/>
      <w:szCs w:val="24"/>
    </w:rPr>
  </w:style>
  <w:style w:type="paragraph" w:styleId="5">
    <w:name w:val="heading 4"/>
    <w:basedOn w:val="1"/>
    <w:next w:val="1"/>
    <w:link w:val="24"/>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autoRedefine/>
    <w:semiHidden/>
    <w:unhideWhenUsed/>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unhideWhenUsed/>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qFormat/>
    <w:uiPriority w:val="99"/>
    <w:rPr>
      <w:rFonts w:ascii="Times New Roman" w:hAnsi="Times New Roman" w:cs="Times New Roman"/>
      <w:kern w:val="0"/>
      <w:sz w:val="24"/>
      <w:szCs w:val="24"/>
    </w:rPr>
  </w:style>
  <w:style w:type="character" w:customStyle="1" w:styleId="23">
    <w:name w:val="标题 3 Char"/>
    <w:link w:val="4"/>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uiPriority w:val="99"/>
    <w:rPr>
      <w:rFonts w:ascii="等线" w:hAnsi="等线" w:eastAsia="等线"/>
      <w:b/>
      <w:bCs/>
      <w:kern w:val="2"/>
      <w:sz w:val="21"/>
      <w:szCs w:val="22"/>
    </w:rPr>
  </w:style>
  <w:style w:type="character" w:customStyle="1" w:styleId="30">
    <w:name w:val="批注文字 Char1"/>
    <w:semiHidden/>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FC7BB-8354-4E58-8ED5-79EC457D60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3838</Words>
  <Characters>21881</Characters>
  <Lines>182</Lines>
  <Paragraphs>51</Paragraphs>
  <TotalTime>43</TotalTime>
  <ScaleCrop>false</ScaleCrop>
  <LinksUpToDate>false</LinksUpToDate>
  <CharactersWithSpaces>25668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lenovo</cp:lastModifiedBy>
  <cp:lastPrinted>2021-08-17T07:59:00Z</cp:lastPrinted>
  <dcterms:modified xsi:type="dcterms:W3CDTF">2024-01-09T11:00:39Z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DE3C91C2A3B5482180EC7207DA540B60</vt:lpwstr>
  </property>
</Properties>
</file>