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w:t>
      </w:r>
      <w:r>
        <w:rPr>
          <w:rFonts w:hint="eastAsia" w:ascii="宋体" w:hAnsi="宋体" w:cs="宋体"/>
          <w:b/>
          <w:bCs/>
          <w:sz w:val="36"/>
          <w:szCs w:val="36"/>
        </w:rPr>
        <w:t>04</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盐城师范学院2024年秋学期食堂大宗食材</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（调理品、水饺）采购项目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2024年7月</w:t>
      </w:r>
      <w:r>
        <w:rPr>
          <w:rFonts w:ascii="宋体" w:hAnsi="宋体" w:cs="黑体"/>
          <w:b/>
          <w:sz w:val="36"/>
          <w:szCs w:val="36"/>
          <w:lang w:val="zh-CN"/>
        </w:rPr>
        <w:t xml:space="preserve"> </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31</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34</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37</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盐城师范学院2024年秋学期食堂大宗食材（调理品、水饺）采购项目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w:t>
            </w:r>
            <w:r>
              <w:rPr>
                <w:rFonts w:hint="eastAsia" w:ascii="宋体" w:hAnsi="宋体" w:cs="Dotum"/>
                <w:kern w:val="0"/>
                <w:sz w:val="24"/>
                <w:szCs w:val="24"/>
                <w:u w:val="single"/>
              </w:rPr>
              <w:t>2024年8月</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04；</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盐城师范学院2024年秋学期食堂大宗食材（调理品、水饺）采购项目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2024年8月26日至2025年1月1</w:t>
      </w:r>
      <w:r>
        <w:rPr>
          <w:rFonts w:hint="eastAsia" w:ascii="宋体" w:hAnsi="宋体" w:cs="宋体"/>
          <w:kern w:val="0"/>
          <w:sz w:val="24"/>
          <w:u w:val="single"/>
          <w:lang w:val="en-US" w:eastAsia="zh-CN"/>
        </w:rPr>
        <w:t>5</w:t>
      </w:r>
      <w:r>
        <w:rPr>
          <w:rFonts w:hint="eastAsia" w:ascii="宋体" w:hAnsi="宋体" w:cs="宋体"/>
          <w:kern w:val="0"/>
          <w:sz w:val="24"/>
          <w:u w:val="single"/>
        </w:rPr>
        <w:t>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4.标段划分：本项目共分2个标段，一标段：调理品，二标段：水饺，两个标段投标人可兼投兼中，同时投两个标段的投标人需按标段分别编制投标文件。评审顺序为：一标段→二标段；</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6.本项目不接受进口产品参与投标。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（2）提供与本项目经营范围相符合的食品经营许可证复印件。</w:t>
      </w:r>
    </w:p>
    <w:p>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u w:val="single"/>
        </w:rPr>
        <w:t>2.开标时间和地点：2024年8月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35393796"/>
      <w:bookmarkStart w:id="2" w:name="_Toc28359085"/>
      <w:bookmarkStart w:id="3" w:name="_Toc28359008"/>
      <w:bookmarkStart w:id="4" w:name="_Toc35393627"/>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w:t>
      </w:r>
      <w:r>
        <w:rPr>
          <w:rFonts w:hint="eastAsia" w:ascii="宋体" w:hAnsi="宋体" w:cs="宋体"/>
          <w:kern w:val="0"/>
          <w:sz w:val="24"/>
          <w:szCs w:val="24"/>
          <w:u w:val="single"/>
        </w:rPr>
        <w:t xml:space="preserve">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相关工作人员处进行信息实名登记，进入校园后须全程佩戴口罩。</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5520" w:firstLineChars="2300"/>
        <w:rPr>
          <w:rStyle w:val="37"/>
          <w:rFonts w:ascii="宋体" w:hAnsi="宋体"/>
          <w:sz w:val="24"/>
        </w:rPr>
      </w:pPr>
      <w:r>
        <w:rPr>
          <w:rStyle w:val="37"/>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959"/>
      <w:bookmarkStart w:id="30" w:name="_Toc47629327"/>
      <w:bookmarkStart w:id="31" w:name="_Toc155527169"/>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520" w:lineRule="exact"/>
        <w:jc w:val="center"/>
        <w:rPr>
          <w:rFonts w:ascii="宋体" w:hAnsi="宋体" w:cs="宋体"/>
          <w:b/>
          <w:sz w:val="36"/>
          <w:szCs w:val="36"/>
        </w:rPr>
      </w:pPr>
      <w:r>
        <w:rPr>
          <w:rFonts w:hint="eastAsia" w:ascii="宋体" w:hAnsi="宋体" w:cs="宋体"/>
          <w:b/>
          <w:sz w:val="36"/>
          <w:szCs w:val="36"/>
        </w:rPr>
        <w:t>供货合同（调理品）</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甲乙双方根据盐城师范学院2024年秋学期食堂大宗食材（调理品、水饺）采购项目公开招标的结果，签署本合同。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一、货物名称：调理品</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二、合同期限：2024年8月26日至2025年1月1</w:t>
      </w:r>
      <w:r>
        <w:rPr>
          <w:rFonts w:hint="eastAsia" w:ascii="宋体" w:hAnsi="宋体" w:cs="宋体"/>
          <w:sz w:val="24"/>
          <w:szCs w:val="24"/>
          <w:lang w:val="en-US" w:eastAsia="zh-CN"/>
        </w:rPr>
        <w:t>5</w:t>
      </w:r>
      <w:r>
        <w:rPr>
          <w:rFonts w:hint="eastAsia" w:ascii="宋体" w:hAnsi="宋体" w:cs="宋体"/>
          <w:sz w:val="24"/>
          <w:szCs w:val="24"/>
        </w:rPr>
        <w:t>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1.乙方应严格遵守《中华人民共和国食品安全法》及其他法律法规的有关规定，确保所供调理品质量符合国家相关产品质量标准（速冻调制食品SB/T 10379-2012），符合国家各级强制性规范的要求。</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3.乙方必须按国家有关规定就所供原料向甲方提供以下索证资料：</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 (1)相同批次产品的检验合格证或者化验单。</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pPr>
        <w:spacing w:line="480" w:lineRule="exact"/>
        <w:ind w:firstLine="480" w:firstLineChars="200"/>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pPr>
        <w:spacing w:line="480" w:lineRule="exact"/>
        <w:ind w:firstLine="480" w:firstLineChars="200"/>
        <w:rPr>
          <w:rFonts w:ascii="宋体" w:hAnsi="宋体" w:cs="宋体"/>
          <w:b/>
          <w:color w:val="000000"/>
          <w:kern w:val="0"/>
          <w:sz w:val="24"/>
          <w:szCs w:val="24"/>
        </w:rPr>
      </w:pPr>
      <w:r>
        <w:rPr>
          <w:rFonts w:hint="eastAsia" w:ascii="宋体" w:hAnsi="宋体" w:cs="宋体"/>
          <w:sz w:val="24"/>
          <w:szCs w:val="24"/>
        </w:rPr>
        <w:t>四</w:t>
      </w:r>
      <w:r>
        <w:rPr>
          <w:rFonts w:hint="eastAsia" w:ascii="宋体" w:hAnsi="宋体" w:cs="宋体"/>
          <w:kern w:val="0"/>
          <w:sz w:val="24"/>
          <w:szCs w:val="24"/>
        </w:rPr>
        <w:t>、履约保证金：履约保证金共计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571"/>
        <w:gridCol w:w="1891"/>
        <w:gridCol w:w="189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27" w:type="dxa"/>
            <w:vAlign w:val="center"/>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2571" w:type="dxa"/>
            <w:vAlign w:val="center"/>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名称</w:t>
            </w:r>
          </w:p>
        </w:tc>
        <w:tc>
          <w:tcPr>
            <w:tcW w:w="1891" w:type="dxa"/>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包装规格</w:t>
            </w:r>
          </w:p>
        </w:tc>
        <w:tc>
          <w:tcPr>
            <w:tcW w:w="1891" w:type="dxa"/>
            <w:vAlign w:val="center"/>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品牌</w:t>
            </w:r>
          </w:p>
        </w:tc>
        <w:tc>
          <w:tcPr>
            <w:tcW w:w="1860" w:type="dxa"/>
            <w:vAlign w:val="center"/>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单价（元/斤）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奥尔良鸡丁</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黑椒鸡块</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澳洲大串</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960g×10袋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黑椒鸡扒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迷你肉串</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950g×10袋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雪花鸡排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奥尔良腿排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0.95kg*10袋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奥尔良全腿</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1.08kg×10袋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连心脆</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无骨鸡柳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脆皮串</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干炸里脊</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黑椒肉柳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蚝油肉片</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乌鸡肉扒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鸡肉丸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无双剑翅</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0.95kg×10袋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清真烤肠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1.9kg*6袋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清真肉卷</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雪花培根</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经典肉肠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3.2kg×6袋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方腿</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250g*30只</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热狗烤肠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1.9kg×10袋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切片火腿</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烧烤肠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12kg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撒尿肉丸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甜不辣</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霞糕</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海仔撒尿肉丸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开花肠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Q鱼板</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霞迷饺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虾丸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千夜豆腐</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夹心蟹排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水晶包</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夹心鱼排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鱼豆腐</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包心鱼豆腐</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爆汁小鱼丸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闽南香肉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虾味火锅饺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北海翅</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包心鱼卷</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烤鱼棒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夹心鱼饼</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包心鱼丸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香辣鱼果</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龙虾排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蟹柳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迷你燕饺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鱼籽包</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脆骨啵啵肠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黄金蛋饺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10袋*6盒</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狮子头</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香菇贡丸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玉米香肠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麻辣香包</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夹心龙虾味饼</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香脆藕盒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800g*10</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亲亲肠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大里脊肉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30支*10袋*1.46kg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脆骨肠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60g*50根*6袋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龙虾球</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纯肉肠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80g*30根*8袋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椒麻辣子鸡</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巴沙鱼片</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奥尔良大鸡排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2kg*5袋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盐酥鸡</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黑椒风味柳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鸡柳排条</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大肉肠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19kg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培根</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12kg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奥尔良胸排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滑油鸡丁</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骨肉相连</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8kg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鸡米花</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脆香藕盒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片片肠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雪花肉排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雪花鸡柳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9.5kg箱</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里脊大肉串</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藤椒琵琶腿</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蛋肉卷</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乌鸡扒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红烧大排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川香鸡柳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牙签肉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千张卷肉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面筋塞肉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滑水鸡丁</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大鸡排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1.75kg*6袋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卡兹脆鸡排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锅包肉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众福烤肠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1.95kg*8袋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牛肉卷</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米兰虾饼</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火腿片</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14kg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辣子鸡</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16kg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绿茶佛饼</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柳叶脆香鸡</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小酥肉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韩式炸鸡</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调理鸡肉丁</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 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正大伴翅</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1kg*10袋 </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椒香鸡块</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1kg*10袋 </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粒粒吉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1kg*10袋 </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香肠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3kg*4袋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蛋饺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150g*10包（6袋／包）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110</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芝士年糕混合装三色</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1*20袋*500克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黑椒鸭胸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5千克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112</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小酥肉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800克*10袋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113</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安井紫薯球</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114</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黄乳麻吉烧</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115</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海欣玉米肠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1.5kg*8袋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116</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黄金糕</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1.75kg*4袋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117</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鸭血</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300g*20盒</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无骨鸡柳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20斤</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黑椒肉粒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法式烤排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肥牛</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撒尿牛丸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w:t>
            </w:r>
            <w:r>
              <w:rPr>
                <w:rFonts w:hint="eastAsia" w:cs="宋体" w:asciiTheme="minorEastAsia" w:hAnsiTheme="minorEastAsia" w:eastAsiaTheme="minorEastAsia"/>
                <w:color w:val="000000"/>
                <w:kern w:val="0"/>
                <w:szCs w:val="21"/>
                <w:lang w:bidi="ar"/>
              </w:rPr>
              <w:t>骨肉相连</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0.9kg</w:t>
            </w:r>
            <w:r>
              <w:rPr>
                <w:rFonts w:hint="eastAsia" w:cs="宋体" w:asciiTheme="minorEastAsia" w:hAnsiTheme="minorEastAsia" w:eastAsiaTheme="minorEastAsia"/>
                <w:color w:val="000000"/>
                <w:kern w:val="0"/>
                <w:szCs w:val="21"/>
                <w:lang w:bidi="ar"/>
              </w:rPr>
              <w:t>×</w:t>
            </w:r>
            <w:r>
              <w:rPr>
                <w:rStyle w:val="39"/>
                <w:rFonts w:asciiTheme="minorEastAsia" w:hAnsiTheme="minorEastAsia" w:eastAsiaTheme="minorEastAsia"/>
                <w:sz w:val="21"/>
                <w:szCs w:val="21"/>
                <w:lang w:bidi="ar"/>
              </w:rPr>
              <w:t>10</w:t>
            </w:r>
            <w:r>
              <w:rPr>
                <w:rFonts w:hint="eastAsia" w:cs="宋体" w:asciiTheme="minorEastAsia" w:hAnsiTheme="minorEastAsia" w:eastAsiaTheme="minorEastAsia"/>
                <w:color w:val="000000"/>
                <w:kern w:val="0"/>
                <w:szCs w:val="21"/>
                <w:lang w:bidi="ar"/>
              </w:rPr>
              <w:t>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124</w:t>
            </w:r>
          </w:p>
        </w:tc>
        <w:tc>
          <w:tcPr>
            <w:tcW w:w="2571"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w:t>
            </w:r>
            <w:r>
              <w:rPr>
                <w:rFonts w:hint="eastAsia" w:cs="宋体" w:asciiTheme="minorEastAsia" w:hAnsiTheme="minorEastAsia" w:eastAsiaTheme="minorEastAsia"/>
                <w:color w:val="000000"/>
                <w:kern w:val="0"/>
                <w:szCs w:val="21"/>
                <w:lang w:bidi="ar"/>
              </w:rPr>
              <w:t>鸡米花</w:t>
            </w:r>
          </w:p>
        </w:tc>
        <w:tc>
          <w:tcPr>
            <w:tcW w:w="1891"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1kg</w:t>
            </w:r>
            <w:r>
              <w:rPr>
                <w:rFonts w:hint="eastAsia" w:cs="宋体" w:asciiTheme="minorEastAsia" w:hAnsiTheme="minorEastAsia" w:eastAsiaTheme="minorEastAsia"/>
                <w:color w:val="000000"/>
                <w:kern w:val="0"/>
                <w:szCs w:val="21"/>
                <w:lang w:bidi="ar"/>
              </w:rPr>
              <w:t>×</w:t>
            </w:r>
            <w:r>
              <w:rPr>
                <w:rStyle w:val="39"/>
                <w:rFonts w:asciiTheme="minorEastAsia" w:hAnsiTheme="minorEastAsia" w:eastAsiaTheme="minorEastAsia"/>
                <w:sz w:val="21"/>
                <w:szCs w:val="21"/>
                <w:lang w:bidi="ar"/>
              </w:rPr>
              <w:t>10</w:t>
            </w:r>
            <w:r>
              <w:rPr>
                <w:rFonts w:hint="eastAsia" w:cs="宋体" w:asciiTheme="minorEastAsia" w:hAnsiTheme="minorEastAsia" w:eastAsiaTheme="minorEastAsia"/>
                <w:color w:val="000000"/>
                <w:kern w:val="0"/>
                <w:szCs w:val="21"/>
                <w:lang w:bidi="ar"/>
              </w:rPr>
              <w:t>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125</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大红肠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1.5kg*10</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126</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鲜肉馅</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127</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香菇青菜馅</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128</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梅干菜肉馅</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129</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豆沙馅</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130</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里脊肉串</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600g（20串）x20袋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131</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葱油饼</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900gx10袋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132</w:t>
            </w:r>
          </w:p>
        </w:tc>
        <w:tc>
          <w:tcPr>
            <w:tcW w:w="2571"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蛋挞液</w:t>
            </w:r>
          </w:p>
        </w:tc>
        <w:tc>
          <w:tcPr>
            <w:tcW w:w="1891"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500g*12盒</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133</w:t>
            </w:r>
          </w:p>
        </w:tc>
        <w:tc>
          <w:tcPr>
            <w:tcW w:w="2571"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蛋挞皮</w:t>
            </w:r>
          </w:p>
        </w:tc>
        <w:tc>
          <w:tcPr>
            <w:tcW w:w="1891"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600g*10袋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134</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鲜味鸡丝</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1kg</w:t>
            </w:r>
            <w:r>
              <w:rPr>
                <w:rStyle w:val="40"/>
                <w:rFonts w:hint="eastAsia" w:ascii="MS Mincho" w:hAnsi="MS Mincho" w:cs="MS Mincho" w:eastAsiaTheme="minorEastAsia"/>
                <w:sz w:val="21"/>
                <w:szCs w:val="21"/>
                <w:lang w:bidi="ar"/>
              </w:rPr>
              <w:t>*</w:t>
            </w:r>
            <w:r>
              <w:rPr>
                <w:rFonts w:hint="eastAsia" w:cs="宋体" w:asciiTheme="minorEastAsia" w:hAnsiTheme="minorEastAsia" w:eastAsiaTheme="minorEastAsia"/>
                <w:color w:val="000000"/>
                <w:kern w:val="0"/>
                <w:szCs w:val="21"/>
                <w:lang w:bidi="ar"/>
              </w:rPr>
              <w:t>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135</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老母鸡</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1.37Kg*8只</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136</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香酥烧饼</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60g*200个</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137</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香菇卤肉风味饭团</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150g*80</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138</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金丝鸡柳</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850gx10袋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139</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弹力豆腐串</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900gx10袋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140</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臭豆腐串</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1000gx6袋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141</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腿碎肉</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12kg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142</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喉骨</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143</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肉肠</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144</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清真水饺</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350克*20袋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145</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火锅油条</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500g*12包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146</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迷你小油条</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500g*10包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147</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黑椒鸭柳</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1kg*10包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148</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四季青玉米粒</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1kg*10包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149</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鸡肉卷</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150g*60个</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150</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千页豆腐</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151</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鸡翅尖</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1kg*10包 </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152</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真享肉排</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1kg*10包 </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153</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鸭脯肉</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5kg /箱</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154</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黑椒吉排</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2.5kg*4包 </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155</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毛肚</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156</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虾滑</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500g*20包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157</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王中王火腿肠</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30g*90根</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158</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小鲜肉</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159</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牛肉卷</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5kg /箱</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160</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飘香肉丝（鸭肉）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15kg /箱</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161</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飘香肉片（鸭肉）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15kg /箱</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162</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美味肉丁</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8kg /箱</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（7）含水量超过15%的。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2.乙方应严格按招标文件规定的质量标准进行供货。甲方将退回不达标物,并扣收履约保证金200—2000元/次,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spacing w:line="480" w:lineRule="exact"/>
        <w:ind w:firstLine="480" w:firstLineChars="200"/>
        <w:rPr>
          <w:rFonts w:ascii="宋体" w:hAnsi="宋体" w:cs="宋体"/>
          <w:sz w:val="24"/>
          <w:szCs w:val="24"/>
        </w:rPr>
      </w:pPr>
    </w:p>
    <w:p>
      <w:pPr>
        <w:spacing w:before="100" w:beforeAutospacing="1" w:after="100" w:afterAutospacing="1" w:line="520" w:lineRule="exact"/>
        <w:jc w:val="center"/>
        <w:rPr>
          <w:rFonts w:ascii="宋体" w:hAnsi="宋体" w:cs="宋体"/>
          <w:b/>
          <w:sz w:val="36"/>
          <w:szCs w:val="36"/>
        </w:rPr>
      </w:pPr>
      <w:r>
        <w:rPr>
          <w:rFonts w:ascii="宋体" w:hAnsi="宋体" w:cs="宋体"/>
          <w:b/>
          <w:sz w:val="36"/>
          <w:szCs w:val="36"/>
        </w:rPr>
        <w:br w:type="page"/>
      </w:r>
    </w:p>
    <w:p>
      <w:pPr>
        <w:spacing w:before="100" w:beforeAutospacing="1" w:after="100" w:afterAutospacing="1" w:line="520" w:lineRule="exact"/>
        <w:jc w:val="center"/>
        <w:rPr>
          <w:rFonts w:ascii="宋体" w:hAnsi="宋体" w:cs="宋体"/>
          <w:b/>
          <w:sz w:val="36"/>
          <w:szCs w:val="36"/>
        </w:rPr>
      </w:pPr>
      <w:r>
        <w:rPr>
          <w:rFonts w:hint="eastAsia" w:ascii="宋体" w:hAnsi="宋体" w:cs="宋体"/>
          <w:b/>
          <w:sz w:val="36"/>
          <w:szCs w:val="36"/>
        </w:rPr>
        <w:t>供货合同（水饺）</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甲乙双方根据盐城师范学院2024年秋学期食堂大宗食材（调理品、水饺）采购项目公开招标的结果，签署本合同。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一、货物名称：水饺</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二、合同期限：2024年8月26日至2025年1月1</w:t>
      </w:r>
      <w:r>
        <w:rPr>
          <w:rFonts w:hint="eastAsia" w:ascii="宋体" w:hAnsi="宋体" w:cs="宋体"/>
          <w:sz w:val="24"/>
          <w:szCs w:val="24"/>
          <w:lang w:val="en-US" w:eastAsia="zh-CN"/>
        </w:rPr>
        <w:t>5</w:t>
      </w:r>
      <w:r>
        <w:rPr>
          <w:rFonts w:hint="eastAsia" w:ascii="宋体" w:hAnsi="宋体" w:cs="宋体"/>
          <w:sz w:val="24"/>
          <w:szCs w:val="24"/>
        </w:rPr>
        <w:t>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1、所供货物必须达到国家相应标准。 </w:t>
      </w:r>
    </w:p>
    <w:p>
      <w:pPr>
        <w:spacing w:line="480" w:lineRule="exact"/>
        <w:ind w:firstLine="480" w:firstLineChars="200"/>
        <w:rPr>
          <w:rFonts w:ascii="宋体" w:hAnsi="宋体" w:cs="宋体"/>
          <w:sz w:val="24"/>
          <w:szCs w:val="24"/>
        </w:rPr>
      </w:pPr>
      <w:r>
        <w:rPr>
          <w:rFonts w:hint="eastAsia" w:ascii="宋体" w:hAnsi="宋体" w:cs="宋体"/>
          <w:sz w:val="24"/>
          <w:szCs w:val="24"/>
        </w:rPr>
        <w:t>2、乙方应按甲方计划要求，按本文件规定的品种、规格、质量提供成品食品原料。包装类食品产品送达日剩余保质期天数须大于产品总保质期2/3的天数，否则甲方有权拒绝收货。</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3.乙方必须按国家有关规定就所供原料向甲方提供以下索证资料：</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 (1)相同批次产品的检验合格证或者化验单。</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pPr>
        <w:spacing w:line="480" w:lineRule="exact"/>
        <w:ind w:firstLine="480" w:firstLineChars="200"/>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pPr>
        <w:spacing w:line="480" w:lineRule="exact"/>
        <w:ind w:firstLine="480" w:firstLineChars="200"/>
        <w:rPr>
          <w:rFonts w:ascii="宋体" w:hAnsi="宋体" w:cs="宋体"/>
          <w:sz w:val="24"/>
          <w:szCs w:val="24"/>
        </w:rPr>
      </w:pPr>
      <w:r>
        <w:rPr>
          <w:rFonts w:hint="eastAsia" w:ascii="宋体" w:hAnsi="宋体" w:cs="宋体"/>
          <w:sz w:val="24"/>
          <w:szCs w:val="24"/>
        </w:rPr>
        <w:t>5. 乙方每批次提供的货物需提供检验报告或其他证明，且必须经甲方采供中心、餐饮服务中心验收人员验收合格并签单后才能视为有效，否则均视为无效供货。</w:t>
      </w:r>
    </w:p>
    <w:p>
      <w:pPr>
        <w:spacing w:line="480" w:lineRule="exact"/>
        <w:ind w:firstLine="480" w:firstLineChars="200"/>
        <w:rPr>
          <w:rFonts w:ascii="宋体" w:hAnsi="宋体" w:cs="宋体"/>
          <w:b/>
          <w:color w:val="000000"/>
          <w:kern w:val="0"/>
          <w:sz w:val="24"/>
          <w:szCs w:val="24"/>
        </w:rPr>
      </w:pPr>
      <w:r>
        <w:rPr>
          <w:rFonts w:hint="eastAsia" w:ascii="宋体" w:hAnsi="宋体" w:cs="宋体"/>
          <w:sz w:val="24"/>
          <w:szCs w:val="24"/>
        </w:rPr>
        <w:t>四</w:t>
      </w:r>
      <w:r>
        <w:rPr>
          <w:rFonts w:hint="eastAsia" w:ascii="宋体" w:hAnsi="宋体" w:cs="宋体"/>
          <w:kern w:val="0"/>
          <w:sz w:val="24"/>
          <w:szCs w:val="24"/>
        </w:rPr>
        <w:t>、履约保证金：履约保证金共计</w:t>
      </w:r>
      <w:r>
        <w:rPr>
          <w:rFonts w:hint="eastAsia" w:ascii="宋体" w:hAnsi="宋体" w:cs="宋体"/>
          <w:b/>
          <w:color w:val="000000"/>
          <w:kern w:val="0"/>
          <w:sz w:val="24"/>
          <w:szCs w:val="24"/>
          <w:u w:val="single"/>
          <w:lang w:val="en-US" w:eastAsia="zh-CN"/>
        </w:rPr>
        <w:t>1</w:t>
      </w:r>
      <w:r>
        <w:rPr>
          <w:rFonts w:hint="eastAsia" w:ascii="宋体" w:hAnsi="宋体" w:cs="宋体"/>
          <w:b/>
          <w:color w:val="000000"/>
          <w:kern w:val="0"/>
          <w:sz w:val="24"/>
          <w:szCs w:val="24"/>
          <w:u w:val="single"/>
        </w:rPr>
        <w:t>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571"/>
        <w:gridCol w:w="1891"/>
        <w:gridCol w:w="189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27" w:type="dxa"/>
            <w:vAlign w:val="center"/>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2571" w:type="dxa"/>
            <w:vAlign w:val="center"/>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名称</w:t>
            </w:r>
          </w:p>
        </w:tc>
        <w:tc>
          <w:tcPr>
            <w:tcW w:w="1891" w:type="dxa"/>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包装规格</w:t>
            </w:r>
          </w:p>
        </w:tc>
        <w:tc>
          <w:tcPr>
            <w:tcW w:w="1891" w:type="dxa"/>
            <w:vAlign w:val="center"/>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品牌</w:t>
            </w:r>
          </w:p>
        </w:tc>
        <w:tc>
          <w:tcPr>
            <w:tcW w:w="1860" w:type="dxa"/>
            <w:vAlign w:val="center"/>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单价（元/斤）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1</w:t>
            </w:r>
          </w:p>
        </w:tc>
        <w:tc>
          <w:tcPr>
            <w:tcW w:w="2571" w:type="dxa"/>
            <w:vAlign w:val="center"/>
          </w:tcPr>
          <w:p>
            <w:pPr>
              <w:widowControl/>
              <w:spacing w:line="240" w:lineRule="exact"/>
              <w:jc w:val="center"/>
              <w:textAlignment w:val="center"/>
              <w:rPr>
                <w:rFonts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白菜肉饺</w:t>
            </w:r>
          </w:p>
        </w:tc>
        <w:tc>
          <w:tcPr>
            <w:tcW w:w="1891" w:type="dxa"/>
            <w:vAlign w:val="center"/>
          </w:tcPr>
          <w:p>
            <w:pPr>
              <w:widowControl/>
              <w:spacing w:line="240" w:lineRule="exact"/>
              <w:jc w:val="center"/>
              <w:textAlignment w:val="center"/>
              <w:rPr>
                <w:rFonts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pPr>
              <w:spacing w:line="360" w:lineRule="exact"/>
              <w:jc w:val="center"/>
              <w:rPr>
                <w:rFonts w:cs="宋体"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2</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纯猪肉饺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pPr>
              <w:spacing w:line="360" w:lineRule="exact"/>
              <w:jc w:val="center"/>
              <w:rPr>
                <w:rFonts w:cs="宋体"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3</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荠菜肉饺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pPr>
              <w:spacing w:line="360" w:lineRule="exact"/>
              <w:jc w:val="center"/>
              <w:rPr>
                <w:rFonts w:cs="宋体"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4</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芹菜肉饺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pPr>
              <w:spacing w:line="360" w:lineRule="exact"/>
              <w:jc w:val="center"/>
              <w:rPr>
                <w:rFonts w:cs="宋体"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5</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韭菜肉饺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pPr>
              <w:spacing w:line="360" w:lineRule="exact"/>
              <w:jc w:val="center"/>
              <w:rPr>
                <w:rFonts w:cs="宋体"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6</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三鲜肉饺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pPr>
              <w:spacing w:line="360" w:lineRule="exact"/>
              <w:jc w:val="center"/>
              <w:rPr>
                <w:rFonts w:cs="宋体"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7</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香菇肉饺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pPr>
              <w:spacing w:line="360" w:lineRule="exact"/>
              <w:jc w:val="center"/>
              <w:rPr>
                <w:rFonts w:cs="宋体"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8</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玉米肉饺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pPr>
              <w:spacing w:line="360" w:lineRule="exact"/>
              <w:jc w:val="center"/>
              <w:rPr>
                <w:rFonts w:cs="宋体"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9</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韭菜鸡蛋饺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pPr>
              <w:spacing w:line="360" w:lineRule="exact"/>
              <w:jc w:val="center"/>
              <w:rPr>
                <w:rFonts w:cs="宋体"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10</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青菜香菇水饺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pPr>
              <w:spacing w:line="360" w:lineRule="exact"/>
              <w:jc w:val="center"/>
              <w:rPr>
                <w:rFonts w:cs="宋体"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11</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鲜肉馄饨</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1.5kg*6包</w:t>
            </w:r>
          </w:p>
        </w:tc>
        <w:tc>
          <w:tcPr>
            <w:tcW w:w="1891" w:type="dxa"/>
            <w:vAlign w:val="center"/>
          </w:tcPr>
          <w:p>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pPr>
              <w:spacing w:line="360" w:lineRule="exact"/>
              <w:jc w:val="center"/>
              <w:rPr>
                <w:rFonts w:cs="宋体" w:asciiTheme="minorEastAsia" w:hAnsiTheme="minorEastAsia" w:eastAsiaTheme="minorEastAsia"/>
                <w:color w:val="000000"/>
                <w:sz w:val="24"/>
                <w:szCs w:val="24"/>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2.乙方应严格按招标文件规定的质量标准进行供货。甲方将退回不达标物,并扣收履约保证金200—2000元/次,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一标段：</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1、采购内容：调理品；</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2、预计采购量：200吨。“预计采购量”仅作为投标参考量，不作为合同履约依据，如有政策性扶贫任务，采购量将依据要求减少，最终以招标人实际采购量为准。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二标段：</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1、采购内容：水饺；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2、预计采购量：10000斤。“预计采购量”仅作为投标参考量，不作为合同履约依据，如有政策性扶贫任务，采购量将依据要求减少最终以采购人实际采购量为准。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一标段：速冻调制食品符合SB/T 10379-2012标准，如国家标准发生变化按最新标准执行，执行顺序为国家标准、行业标准、地方标准、企业标准。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二标段：速冻水饺符合国家各级强制性规范的要求以及GB/T 23786-2009标准，如国家标准发生变化按最新标准执行，执行顺序为国家标准、行业标准、地方标准、企业标准。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kern w:val="0"/>
          <w:sz w:val="24"/>
          <w:szCs w:val="24"/>
        </w:rPr>
        <w:t>一标段：</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 </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2、乙方应按甲方计划要求，按本文件规定的品种、规格、质量提供成品食品原料。包装类食品产品送达日剩余保质期天数须大于产品总保质期2/3的天数、含水量不得超过15%，否则甲方有权拒绝收货。</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3.乙方必须按国家有关规定就所供原料向甲方提供以下索证资料：</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(1)相同批次产品的检验合格证或者化验单。</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(2)货物的《质量检验报告》，提供产品在半年内由国家质量检测机构出具的“质量检验报告”，自检报告无效。</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4.产品包装上必须提供品牌、生产商、产地、SC标识，包装上必须有明确的生产日期、保质期。</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5. 乙方每批次提供的货物需提供检验报告或其他证明，且必须经甲方采供中心、饮服中心验收人员验收合格并签单后才能视为有效，否则均视为无效供货。</w:t>
      </w:r>
    </w:p>
    <w:p>
      <w:pPr>
        <w:spacing w:line="480" w:lineRule="exact"/>
        <w:ind w:firstLine="480" w:firstLineChars="200"/>
        <w:rPr>
          <w:rFonts w:ascii="宋体" w:hAnsi="宋体" w:cs="宋体"/>
          <w:i/>
          <w:kern w:val="0"/>
          <w:sz w:val="24"/>
          <w:szCs w:val="24"/>
          <w:u w:val="single"/>
        </w:rPr>
      </w:pPr>
      <w:r>
        <w:rPr>
          <w:rFonts w:hint="eastAsia" w:ascii="宋体" w:hAnsi="宋体" w:cs="宋体"/>
          <w:kern w:val="0"/>
          <w:sz w:val="24"/>
          <w:szCs w:val="24"/>
        </w:rPr>
        <w:t>二标段：</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 </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2、乙方应按甲方计划要求，按本文件规定的品种、规格、质量提供成品食品原料。包装类食品产品送达日剩余保质期天数须大于产品总保质期2/3的天数，否则甲方有权拒绝收货。</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3.乙方必须按国家有关规定就所供原料向甲方提供以下索证资料：</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(1)相同批次产品的检验合格证或者化验单。</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(2)货物的《质量检验报告》，提供产品在半年内由国家质量检测机构出具的“质量检验报告”，自检报告无效。</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4.产品包装上必须提供品牌、生产商、产地、SC标识，包装上必须有明确的生产日期、保质期。</w:t>
      </w:r>
    </w:p>
    <w:p>
      <w:pPr>
        <w:spacing w:line="480" w:lineRule="exact"/>
        <w:ind w:firstLine="480" w:firstLineChars="200"/>
        <w:rPr>
          <w:rFonts w:ascii="宋体" w:hAnsi="宋体" w:cs="宋体"/>
          <w:b/>
          <w:i/>
          <w:sz w:val="24"/>
          <w:szCs w:val="24"/>
          <w:u w:val="single"/>
        </w:rPr>
      </w:pPr>
      <w:r>
        <w:rPr>
          <w:rFonts w:hint="eastAsia" w:ascii="宋体" w:hAnsi="宋体" w:cs="宋体"/>
          <w:i/>
          <w:kern w:val="0"/>
          <w:sz w:val="24"/>
          <w:szCs w:val="24"/>
          <w:u w:val="single"/>
        </w:rPr>
        <w:t>5. 乙方每批次提供的货物需提供检验报告或其他证明，且必须经甲方采供中心、饮服中心验收人员验收合格并签单后才能视为有效，否则均视为无效供货。</w:t>
      </w:r>
    </w:p>
    <w:p>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调理品3万元，水饺1万元</w:t>
      </w:r>
      <w:r>
        <w:rPr>
          <w:rFonts w:hint="eastAsia" w:ascii="宋体" w:hAnsi="宋体" w:cs="宋体"/>
          <w:kern w:val="0"/>
          <w:sz w:val="24"/>
          <w:szCs w:val="24"/>
          <w:lang w:eastAsia="zh-CN"/>
        </w:rPr>
        <w:t>）</w:t>
      </w:r>
      <w:r>
        <w:rPr>
          <w:rFonts w:hint="eastAsia" w:ascii="宋体" w:hAnsi="宋体" w:cs="宋体"/>
          <w:kern w:val="0"/>
          <w:sz w:val="24"/>
          <w:szCs w:val="24"/>
        </w:rPr>
        <w:t>。合同履行完毕，若无违约则无息退还履约保证金。</w:t>
      </w:r>
      <w:bookmarkStart w:id="41" w:name="_GoBack"/>
      <w:bookmarkEnd w:id="41"/>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b/>
          <w:color w:val="FF0000"/>
          <w:sz w:val="24"/>
          <w:szCs w:val="24"/>
        </w:rPr>
      </w:pPr>
      <w:r>
        <w:rPr>
          <w:rFonts w:hint="eastAsia" w:ascii="宋体" w:hAnsi="宋体"/>
          <w:sz w:val="24"/>
          <w:szCs w:val="24"/>
        </w:rPr>
        <w:t>评标采用综合评分法，评标结果按评审后得分由高到低顺序排列。得分相同的，按投标报价由低到高顺序排列。得分且投标报价相同的由评标委员会抽签确定顺序。投标文件满足招标文件全部实质性要求，且按照评审因素的量化指标评审得分由高至低每标段产生3名入围中标候选人。</w:t>
      </w:r>
      <w:r>
        <w:rPr>
          <w:rFonts w:hint="eastAsia" w:ascii="宋体" w:hAnsi="宋体"/>
          <w:b/>
          <w:sz w:val="24"/>
          <w:szCs w:val="24"/>
        </w:rPr>
        <w:t>招标人根据评标委员会提出的书面评标报告和推荐的中标侯选人，每标段依法确定3名中标人，并分别签订合同。学校各食堂档口根据需要自行选择中标人进行订货，按中标人的报价进行结算，学校不保证中标人的订货量。</w:t>
      </w:r>
    </w:p>
    <w:p>
      <w:pPr>
        <w:spacing w:line="480" w:lineRule="exact"/>
        <w:ind w:firstLine="480" w:firstLineChars="200"/>
        <w:rPr>
          <w:rFonts w:ascii="宋体" w:hAnsi="宋体"/>
          <w:sz w:val="24"/>
          <w:szCs w:val="24"/>
        </w:rPr>
      </w:pPr>
      <w:r>
        <w:rPr>
          <w:rFonts w:hint="eastAsia" w:ascii="宋体" w:hAnsi="宋体"/>
          <w:sz w:val="24"/>
          <w:szCs w:val="24"/>
        </w:rPr>
        <w:t>入围中标候选人放弃中标、因不可抗力不能履行合同，或者被查实存在影响中标结果的违法行为等情形，不符合中标条件的，招标人将取消入围，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17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25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二、投标人须有固定冷冻仓储仓库用于冻品储存，须提供冷冻仓储仓库与投标单位之间关系的产权证明复印件，或提供投标单位租赁冷冻仓储仓库合同复印件；提供冷冻仓储仓库全景及内景照片。照片和复印件加盖投标人公章。</w:t>
            </w:r>
          </w:p>
          <w:p>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冷冻仓储仓库500平方米（含）以上的得5分，200平方米（含）至500平方米的得2.5分，小于200平方米的不得分。未按以上要求提供相关材料或扫描不清晰导致无法识别的不计得分。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本项最多得5分。</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244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三、投标人有货品配送车辆，每有一辆得</w:t>
            </w:r>
            <w:r>
              <w:rPr>
                <w:rFonts w:ascii="宋体" w:hAnsi="宋体"/>
                <w:sz w:val="24"/>
                <w:szCs w:val="24"/>
              </w:rPr>
              <w:t>3</w:t>
            </w:r>
            <w:r>
              <w:rPr>
                <w:rFonts w:hint="eastAsia" w:ascii="宋体" w:hAnsi="宋体"/>
                <w:sz w:val="24"/>
                <w:szCs w:val="24"/>
              </w:rPr>
              <w:t>分，配有冷链运输车辆，有1辆加</w:t>
            </w:r>
            <w:r>
              <w:rPr>
                <w:rFonts w:ascii="宋体" w:hAnsi="宋体"/>
                <w:sz w:val="24"/>
                <w:szCs w:val="24"/>
              </w:rPr>
              <w:t>2</w:t>
            </w:r>
            <w:r>
              <w:rPr>
                <w:rFonts w:hint="eastAsia" w:ascii="宋体" w:hAnsi="宋体"/>
                <w:sz w:val="24"/>
                <w:szCs w:val="24"/>
              </w:rPr>
              <w:t>分。</w:t>
            </w:r>
            <w:r>
              <w:rPr>
                <w:rFonts w:hint="eastAsia" w:ascii="宋体" w:hAnsi="宋体"/>
                <w:b/>
                <w:bCs/>
                <w:sz w:val="24"/>
                <w:szCs w:val="24"/>
              </w:rPr>
              <w:t>本项最多得</w:t>
            </w:r>
            <w:r>
              <w:rPr>
                <w:rFonts w:ascii="宋体" w:hAnsi="宋体"/>
                <w:b/>
                <w:bCs/>
                <w:sz w:val="24"/>
                <w:szCs w:val="24"/>
              </w:rPr>
              <w:t>5</w:t>
            </w:r>
            <w:r>
              <w:rPr>
                <w:rFonts w:hint="eastAsia" w:ascii="宋体" w:hAnsi="宋体"/>
                <w:b/>
                <w:bCs/>
                <w:sz w:val="24"/>
                <w:szCs w:val="24"/>
              </w:rPr>
              <w:t>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cs="楷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68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评分标准与依据（本项最多得9分）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9</w:t>
            </w:r>
            <w:r>
              <w:rPr>
                <w:rFonts w:hint="eastAsia" w:ascii="宋体" w:hAnsi="宋体"/>
                <w:sz w:val="24"/>
                <w:szCs w:val="24"/>
              </w:rPr>
              <w:t>分，满足以上两项要求得6分，满足一项得3分，其它情况不得分。格式自拟，加盖投标人公章。</w:t>
            </w:r>
          </w:p>
        </w:tc>
      </w:tr>
      <w:tr>
        <w:tblPrEx>
          <w:tblCellMar>
            <w:top w:w="0" w:type="dxa"/>
            <w:left w:w="108" w:type="dxa"/>
            <w:bottom w:w="0" w:type="dxa"/>
            <w:right w:w="108" w:type="dxa"/>
          </w:tblCellMar>
        </w:tblPrEx>
        <w:trPr>
          <w:trHeight w:val="339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二、项目重点难点分析</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w:t>
            </w:r>
            <w:r>
              <w:rPr>
                <w:rFonts w:ascii="宋体" w:hAnsi="宋体"/>
                <w:sz w:val="24"/>
                <w:szCs w:val="24"/>
              </w:rPr>
              <w:t>应对措施</w:t>
            </w:r>
            <w:r>
              <w:rPr>
                <w:rFonts w:hint="eastAsia" w:ascii="宋体" w:hAnsi="宋体"/>
                <w:sz w:val="24"/>
                <w:szCs w:val="24"/>
              </w:rPr>
              <w:t>、</w:t>
            </w:r>
            <w:r>
              <w:rPr>
                <w:rFonts w:ascii="宋体" w:hAnsi="宋体"/>
                <w:sz w:val="24"/>
                <w:szCs w:val="24"/>
              </w:rPr>
              <w:t>合理化建议</w:t>
            </w:r>
            <w:r>
              <w:rPr>
                <w:rFonts w:hint="eastAsia" w:ascii="宋体" w:hAnsi="宋体"/>
                <w:sz w:val="24"/>
                <w:szCs w:val="24"/>
              </w:rPr>
              <w:t>。</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评分标准与依据（本项最多得6分）</w:t>
            </w:r>
          </w:p>
          <w:p>
            <w:pPr>
              <w:ind w:firstLine="480" w:firstLineChars="200"/>
              <w:rPr>
                <w:rFonts w:ascii="宋体" w:hAnsi="宋体"/>
                <w:sz w:val="24"/>
                <w:szCs w:val="24"/>
              </w:rPr>
            </w:pPr>
            <w:r>
              <w:rPr>
                <w:rFonts w:hint="eastAsia" w:ascii="宋体" w:hAnsi="宋体"/>
                <w:sz w:val="24"/>
                <w:szCs w:val="24"/>
              </w:rPr>
              <w:t>（1）项目重点难点分析全面准确；</w:t>
            </w:r>
          </w:p>
          <w:p>
            <w:pPr>
              <w:ind w:firstLine="480" w:firstLineChars="200"/>
              <w:rPr>
                <w:rFonts w:ascii="宋体" w:hAnsi="宋体"/>
                <w:sz w:val="24"/>
                <w:szCs w:val="24"/>
              </w:rPr>
            </w:pPr>
            <w:r>
              <w:rPr>
                <w:rFonts w:hint="eastAsia" w:ascii="宋体" w:hAnsi="宋体"/>
                <w:sz w:val="24"/>
                <w:szCs w:val="24"/>
              </w:rPr>
              <w:t>（2）项目应对措施及合理化建议清晰；</w:t>
            </w:r>
          </w:p>
          <w:p>
            <w:pPr>
              <w:ind w:firstLine="480" w:firstLineChars="200"/>
              <w:rPr>
                <w:rFonts w:ascii="宋体" w:hAnsi="宋体"/>
                <w:sz w:val="24"/>
                <w:szCs w:val="24"/>
              </w:rPr>
            </w:pPr>
            <w:r>
              <w:rPr>
                <w:rFonts w:hint="eastAsia" w:ascii="宋体" w:hAnsi="宋体"/>
                <w:sz w:val="24"/>
                <w:szCs w:val="24"/>
              </w:rPr>
              <w:t>（3）项目应对措施及合理化建议可操作性强；</w:t>
            </w:r>
          </w:p>
          <w:p>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6</w:t>
            </w:r>
            <w:r>
              <w:rPr>
                <w:rFonts w:hint="eastAsia" w:ascii="宋体" w:hAnsi="宋体"/>
                <w:sz w:val="24"/>
                <w:szCs w:val="24"/>
              </w:rPr>
              <w:t>分，满足以上两项要求得4分，满足一项得分2分，其它情况不得分。格式自拟，加盖投标人公章。</w:t>
            </w:r>
          </w:p>
        </w:tc>
      </w:tr>
      <w:tr>
        <w:tblPrEx>
          <w:tblCellMar>
            <w:top w:w="0" w:type="dxa"/>
            <w:left w:w="108" w:type="dxa"/>
            <w:bottom w:w="0" w:type="dxa"/>
            <w:right w:w="108" w:type="dxa"/>
          </w:tblCellMar>
        </w:tblPrEx>
        <w:trPr>
          <w:trHeight w:val="2958"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w:t>
            </w:r>
            <w:r>
              <w:rPr>
                <w:rFonts w:ascii="宋体" w:hAnsi="宋体"/>
                <w:b/>
                <w:sz w:val="24"/>
                <w:szCs w:val="24"/>
              </w:rPr>
              <w:t>应急处理</w:t>
            </w:r>
            <w:r>
              <w:rPr>
                <w:rFonts w:hint="eastAsia" w:ascii="宋体" w:hAnsi="宋体"/>
                <w:b/>
                <w:sz w:val="24"/>
                <w:szCs w:val="24"/>
              </w:rPr>
              <w:t>工作</w:t>
            </w:r>
            <w:r>
              <w:rPr>
                <w:rFonts w:ascii="宋体" w:hAnsi="宋体"/>
                <w:b/>
                <w:sz w:val="24"/>
                <w:szCs w:val="24"/>
              </w:rPr>
              <w:t>方案</w:t>
            </w:r>
            <w:r>
              <w:rPr>
                <w:rFonts w:hint="eastAsia" w:ascii="宋体" w:hAnsi="宋体"/>
                <w:b/>
                <w:sz w:val="24"/>
                <w:szCs w:val="24"/>
              </w:rPr>
              <w:t>和预案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ascii="宋体" w:hAnsi="宋体"/>
                <w:sz w:val="24"/>
                <w:szCs w:val="24"/>
              </w:rPr>
              <w:t>投标人提供</w:t>
            </w:r>
            <w:r>
              <w:rPr>
                <w:rFonts w:hint="eastAsia" w:ascii="宋体" w:hAnsi="宋体"/>
                <w:sz w:val="24"/>
                <w:szCs w:val="24"/>
              </w:rPr>
              <w:t>完备</w:t>
            </w:r>
            <w:r>
              <w:rPr>
                <w:rFonts w:ascii="宋体" w:hAnsi="宋体"/>
                <w:sz w:val="24"/>
                <w:szCs w:val="24"/>
              </w:rPr>
              <w:t>的物流配送、食品安全等方面的应急处理</w:t>
            </w:r>
            <w:r>
              <w:rPr>
                <w:rFonts w:hint="eastAsia" w:ascii="宋体" w:hAnsi="宋体"/>
                <w:sz w:val="24"/>
                <w:szCs w:val="24"/>
              </w:rPr>
              <w:t>工作</w:t>
            </w:r>
            <w:r>
              <w:rPr>
                <w:rFonts w:ascii="宋体" w:hAnsi="宋体"/>
                <w:sz w:val="24"/>
                <w:szCs w:val="24"/>
              </w:rPr>
              <w:t>方案</w:t>
            </w:r>
            <w:r>
              <w:rPr>
                <w:rFonts w:hint="eastAsia" w:ascii="宋体" w:hAnsi="宋体"/>
                <w:sz w:val="24"/>
                <w:szCs w:val="24"/>
              </w:rPr>
              <w:t>、预案。</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评分标准与依据（本项最多得2分）</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物流配送应急处理的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食品安全应急处理的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满足以上两项要求得</w:t>
            </w:r>
            <w:r>
              <w:rPr>
                <w:rFonts w:hint="eastAsia" w:ascii="宋体" w:hAnsi="宋体"/>
                <w:bCs/>
                <w:sz w:val="24"/>
                <w:szCs w:val="24"/>
              </w:rPr>
              <w:t>2</w:t>
            </w:r>
            <w:r>
              <w:rPr>
                <w:rFonts w:hint="eastAsia" w:ascii="宋体" w:hAnsi="宋体"/>
                <w:sz w:val="24"/>
                <w:szCs w:val="24"/>
              </w:rPr>
              <w:t>分，满足以上一项要求得1分，其它情况不得分。格式自拟，加盖投标人公章。</w:t>
            </w:r>
          </w:p>
        </w:tc>
      </w:tr>
    </w:tbl>
    <w:p>
      <w:r>
        <w:br w:type="page"/>
      </w:r>
    </w:p>
    <w:tbl>
      <w:tblPr>
        <w:tblStyle w:val="15"/>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736" w:type="dxa"/>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vAlign w:val="center"/>
          </w:tcPr>
          <w:p>
            <w:pPr>
              <w:ind w:firstLine="482" w:firstLineChars="200"/>
              <w:rPr>
                <w:rFonts w:ascii="宋体" w:hAnsi="宋体"/>
                <w:b/>
                <w:sz w:val="24"/>
                <w:szCs w:val="24"/>
              </w:rPr>
            </w:pPr>
            <w:r>
              <w:rPr>
                <w:rFonts w:hint="eastAsia" w:ascii="宋体" w:hAnsi="宋体"/>
                <w:b/>
                <w:sz w:val="24"/>
                <w:szCs w:val="24"/>
              </w:rPr>
              <w:t>四、违约承诺</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color w:val="FF0000"/>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color w:val="FF0000"/>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评分标准与依据（本项最多得3分）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满足以上三项要求得3分，满足以上两项要求得2分，满足一项得1分，其它情况不得分。格式自拟，加盖投标人公章。</w:t>
            </w:r>
          </w:p>
        </w:tc>
      </w:tr>
    </w:tbl>
    <w:p>
      <w:pPr>
        <w:spacing w:line="440" w:lineRule="exact"/>
        <w:rPr>
          <w:rFonts w:ascii="仿宋" w:hAnsi="仿宋" w:eastAsia="仿宋"/>
          <w:b/>
          <w:bCs/>
          <w:sz w:val="28"/>
          <w:szCs w:val="28"/>
        </w:rPr>
      </w:pPr>
    </w:p>
    <w:p>
      <w:pPr>
        <w:spacing w:line="400" w:lineRule="exact"/>
        <w:ind w:firstLine="480" w:firstLineChars="200"/>
        <w:jc w:val="left"/>
        <w:rPr>
          <w:rFonts w:cs="宋体"/>
          <w:kern w:val="0"/>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标  段   号：</w:t>
      </w:r>
      <w:r>
        <w:rPr>
          <w:rFonts w:hint="eastAsia"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w:t>
      </w:r>
      <w:r>
        <w:rPr>
          <w:rFonts w:hint="eastAsia" w:ascii="宋体" w:cs="宋体"/>
          <w:sz w:val="24"/>
          <w:szCs w:val="24"/>
        </w:rPr>
        <w:t>和</w:t>
      </w:r>
      <w:r>
        <w:rPr>
          <w:rFonts w:hint="eastAsia" w:ascii="宋体" w:cs="宋体"/>
          <w:sz w:val="24"/>
          <w:szCs w:val="24"/>
          <w:lang w:val="zh-CN"/>
        </w:rPr>
        <w:t>预案、违约承诺</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r>
              <w:rPr>
                <w:rFonts w:hint="eastAsia" w:ascii="宋体" w:hAnsi="宋体"/>
                <w:iCs/>
                <w:sz w:val="24"/>
                <w:szCs w:val="24"/>
              </w:rPr>
              <w:t>未被“信用中国”网站</w:t>
            </w:r>
          </w:p>
          <w:p>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309"/>
        <w:rPr>
          <w:rFonts w:ascii="宋体" w:cs="宋体"/>
          <w:sz w:val="24"/>
          <w:szCs w:val="24"/>
          <w:lang w:val="zh-CN"/>
        </w:rPr>
      </w:pPr>
    </w:p>
    <w:tbl>
      <w:tblPr>
        <w:tblStyle w:val="15"/>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990"/>
        <w:gridCol w:w="1995"/>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21" w:type="dxa"/>
            <w:vAlign w:val="center"/>
          </w:tcPr>
          <w:p>
            <w:pPr>
              <w:snapToGrid w:val="0"/>
              <w:rPr>
                <w:rFonts w:ascii="宋体" w:hAnsi="宋体"/>
                <w:b/>
                <w:sz w:val="24"/>
                <w:szCs w:val="21"/>
              </w:rPr>
            </w:pPr>
            <w:r>
              <w:rPr>
                <w:rFonts w:hint="eastAsia" w:ascii="宋体" w:hAnsi="宋体"/>
                <w:b/>
                <w:sz w:val="24"/>
                <w:szCs w:val="21"/>
              </w:rPr>
              <w:t>序号</w:t>
            </w:r>
          </w:p>
        </w:tc>
        <w:tc>
          <w:tcPr>
            <w:tcW w:w="3990"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995"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80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pPr>
              <w:jc w:val="center"/>
              <w:rPr>
                <w:rFonts w:ascii="宋体" w:hAnsi="宋体"/>
                <w:sz w:val="24"/>
                <w:szCs w:val="21"/>
              </w:rPr>
            </w:pPr>
            <w:r>
              <w:rPr>
                <w:rFonts w:hint="eastAsia" w:ascii="宋体" w:hAnsi="宋体"/>
                <w:sz w:val="24"/>
                <w:szCs w:val="21"/>
              </w:rPr>
              <w:t>1</w:t>
            </w:r>
          </w:p>
        </w:tc>
        <w:tc>
          <w:tcPr>
            <w:tcW w:w="3990" w:type="dxa"/>
            <w:vAlign w:val="center"/>
          </w:tcPr>
          <w:p>
            <w:pPr>
              <w:snapToGrid w:val="0"/>
              <w:rPr>
                <w:rFonts w:ascii="宋体" w:hAnsi="宋体"/>
                <w:iCs/>
                <w:sz w:val="24"/>
                <w:szCs w:val="24"/>
              </w:rPr>
            </w:pPr>
          </w:p>
        </w:tc>
        <w:tc>
          <w:tcPr>
            <w:tcW w:w="1995" w:type="dxa"/>
            <w:vAlign w:val="center"/>
          </w:tcPr>
          <w:p>
            <w:pPr>
              <w:ind w:firstLine="482" w:firstLineChars="200"/>
              <w:jc w:val="center"/>
              <w:rPr>
                <w:rFonts w:ascii="宋体" w:hAnsi="宋体"/>
                <w:b/>
                <w:sz w:val="24"/>
                <w:szCs w:val="21"/>
              </w:rPr>
            </w:pPr>
          </w:p>
        </w:tc>
        <w:tc>
          <w:tcPr>
            <w:tcW w:w="280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pPr>
              <w:jc w:val="center"/>
              <w:rPr>
                <w:rFonts w:ascii="宋体" w:hAnsi="宋体"/>
                <w:sz w:val="24"/>
                <w:szCs w:val="21"/>
              </w:rPr>
            </w:pPr>
            <w:r>
              <w:rPr>
                <w:rFonts w:hint="eastAsia" w:ascii="宋体" w:hAnsi="宋体"/>
                <w:sz w:val="24"/>
                <w:szCs w:val="21"/>
              </w:rPr>
              <w:t>2</w:t>
            </w:r>
          </w:p>
        </w:tc>
        <w:tc>
          <w:tcPr>
            <w:tcW w:w="3990" w:type="dxa"/>
            <w:vAlign w:val="center"/>
          </w:tcPr>
          <w:p>
            <w:pPr>
              <w:rPr>
                <w:rFonts w:ascii="宋体" w:hAnsi="宋体"/>
                <w:iCs/>
                <w:sz w:val="24"/>
                <w:szCs w:val="24"/>
              </w:rPr>
            </w:pPr>
          </w:p>
        </w:tc>
        <w:tc>
          <w:tcPr>
            <w:tcW w:w="1995" w:type="dxa"/>
            <w:vAlign w:val="center"/>
          </w:tcPr>
          <w:p>
            <w:pPr>
              <w:ind w:firstLine="480" w:firstLineChars="200"/>
              <w:jc w:val="center"/>
              <w:rPr>
                <w:rFonts w:ascii="宋体" w:hAnsi="宋体"/>
                <w:sz w:val="24"/>
                <w:szCs w:val="21"/>
              </w:rPr>
            </w:pPr>
          </w:p>
        </w:tc>
        <w:tc>
          <w:tcPr>
            <w:tcW w:w="280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pPr>
              <w:jc w:val="center"/>
              <w:rPr>
                <w:rFonts w:ascii="宋体" w:hAnsi="宋体"/>
                <w:sz w:val="24"/>
                <w:szCs w:val="21"/>
              </w:rPr>
            </w:pPr>
            <w:r>
              <w:rPr>
                <w:rFonts w:hint="eastAsia" w:ascii="宋体" w:hAnsi="宋体"/>
                <w:sz w:val="24"/>
                <w:szCs w:val="21"/>
              </w:rPr>
              <w:t>3</w:t>
            </w:r>
          </w:p>
        </w:tc>
        <w:tc>
          <w:tcPr>
            <w:tcW w:w="3990" w:type="dxa"/>
            <w:vAlign w:val="center"/>
          </w:tcPr>
          <w:p>
            <w:pPr>
              <w:rPr>
                <w:rFonts w:ascii="宋体" w:hAnsi="宋体"/>
                <w:iCs/>
                <w:sz w:val="24"/>
                <w:szCs w:val="24"/>
              </w:rPr>
            </w:pPr>
          </w:p>
        </w:tc>
        <w:tc>
          <w:tcPr>
            <w:tcW w:w="1995" w:type="dxa"/>
            <w:vAlign w:val="center"/>
          </w:tcPr>
          <w:p>
            <w:pPr>
              <w:ind w:firstLine="480" w:firstLineChars="200"/>
              <w:jc w:val="center"/>
              <w:rPr>
                <w:rFonts w:ascii="宋体" w:hAnsi="宋体"/>
                <w:sz w:val="24"/>
                <w:szCs w:val="21"/>
              </w:rPr>
            </w:pPr>
          </w:p>
        </w:tc>
        <w:tc>
          <w:tcPr>
            <w:tcW w:w="280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pPr>
              <w:jc w:val="center"/>
              <w:rPr>
                <w:rFonts w:ascii="宋体" w:hAnsi="宋体"/>
                <w:sz w:val="24"/>
                <w:szCs w:val="21"/>
              </w:rPr>
            </w:pPr>
            <w:r>
              <w:rPr>
                <w:rFonts w:hint="eastAsia" w:ascii="宋体" w:hAnsi="宋体"/>
                <w:sz w:val="24"/>
                <w:szCs w:val="21"/>
              </w:rPr>
              <w:t>4</w:t>
            </w:r>
          </w:p>
        </w:tc>
        <w:tc>
          <w:tcPr>
            <w:tcW w:w="3990" w:type="dxa"/>
            <w:vAlign w:val="center"/>
          </w:tcPr>
          <w:p>
            <w:pPr>
              <w:rPr>
                <w:rFonts w:ascii="宋体" w:hAnsi="宋体"/>
                <w:iCs/>
                <w:sz w:val="24"/>
                <w:szCs w:val="24"/>
              </w:rPr>
            </w:pPr>
          </w:p>
        </w:tc>
        <w:tc>
          <w:tcPr>
            <w:tcW w:w="1995" w:type="dxa"/>
            <w:vAlign w:val="center"/>
          </w:tcPr>
          <w:p>
            <w:pPr>
              <w:ind w:firstLine="480" w:firstLineChars="200"/>
              <w:jc w:val="center"/>
              <w:rPr>
                <w:rFonts w:ascii="宋体" w:hAnsi="宋体"/>
                <w:sz w:val="24"/>
                <w:szCs w:val="21"/>
              </w:rPr>
            </w:pPr>
          </w:p>
        </w:tc>
        <w:tc>
          <w:tcPr>
            <w:tcW w:w="280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pPr>
              <w:jc w:val="center"/>
              <w:rPr>
                <w:rFonts w:ascii="宋体" w:hAnsi="宋体"/>
                <w:sz w:val="24"/>
                <w:szCs w:val="21"/>
              </w:rPr>
            </w:pPr>
            <w:r>
              <w:rPr>
                <w:rFonts w:hint="eastAsia" w:ascii="宋体" w:hAnsi="宋体"/>
                <w:sz w:val="24"/>
                <w:szCs w:val="21"/>
              </w:rPr>
              <w:t>5</w:t>
            </w:r>
          </w:p>
        </w:tc>
        <w:tc>
          <w:tcPr>
            <w:tcW w:w="3990" w:type="dxa"/>
            <w:vAlign w:val="center"/>
          </w:tcPr>
          <w:p>
            <w:pPr>
              <w:rPr>
                <w:rFonts w:ascii="宋体" w:hAnsi="宋体"/>
                <w:iCs/>
                <w:sz w:val="24"/>
                <w:szCs w:val="24"/>
              </w:rPr>
            </w:pPr>
          </w:p>
        </w:tc>
        <w:tc>
          <w:tcPr>
            <w:tcW w:w="1995" w:type="dxa"/>
            <w:vAlign w:val="center"/>
          </w:tcPr>
          <w:p>
            <w:pPr>
              <w:ind w:firstLine="480" w:firstLineChars="200"/>
              <w:jc w:val="center"/>
              <w:rPr>
                <w:rFonts w:ascii="宋体" w:hAnsi="宋体"/>
                <w:sz w:val="24"/>
                <w:szCs w:val="21"/>
              </w:rPr>
            </w:pPr>
          </w:p>
        </w:tc>
        <w:tc>
          <w:tcPr>
            <w:tcW w:w="280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pPr>
              <w:jc w:val="center"/>
              <w:rPr>
                <w:rFonts w:ascii="宋体" w:hAnsi="宋体"/>
                <w:sz w:val="24"/>
                <w:szCs w:val="21"/>
              </w:rPr>
            </w:pPr>
            <w:r>
              <w:rPr>
                <w:rFonts w:hint="eastAsia" w:ascii="宋体" w:hAnsi="宋体"/>
                <w:sz w:val="24"/>
                <w:szCs w:val="21"/>
              </w:rPr>
              <w:t>6</w:t>
            </w:r>
          </w:p>
        </w:tc>
        <w:tc>
          <w:tcPr>
            <w:tcW w:w="3990"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995" w:type="dxa"/>
            <w:vAlign w:val="center"/>
          </w:tcPr>
          <w:p>
            <w:pPr>
              <w:ind w:firstLine="480" w:firstLineChars="200"/>
              <w:jc w:val="center"/>
              <w:rPr>
                <w:rFonts w:ascii="宋体" w:hAnsi="宋体"/>
                <w:sz w:val="24"/>
                <w:szCs w:val="21"/>
              </w:rPr>
            </w:pPr>
          </w:p>
        </w:tc>
        <w:tc>
          <w:tcPr>
            <w:tcW w:w="280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60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2219"/>
      <w:bookmarkStart w:id="36" w:name="_Toc14748198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标段号</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货物名称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after="100" w:afterAutospacing="1"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标书文件条款，并按采购项目需求对一标段调理品项目作如下报价：</w:t>
      </w:r>
    </w:p>
    <w:tbl>
      <w:tblPr>
        <w:tblStyle w:val="15"/>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576"/>
        <w:gridCol w:w="681"/>
        <w:gridCol w:w="992"/>
        <w:gridCol w:w="993"/>
        <w:gridCol w:w="1115"/>
        <w:gridCol w:w="966"/>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1134"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货物名称</w:t>
            </w:r>
          </w:p>
        </w:tc>
        <w:tc>
          <w:tcPr>
            <w:tcW w:w="1576"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包装规格</w:t>
            </w:r>
          </w:p>
        </w:tc>
        <w:tc>
          <w:tcPr>
            <w:tcW w:w="681"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计量</w:t>
            </w:r>
          </w:p>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单位</w:t>
            </w:r>
          </w:p>
        </w:tc>
        <w:tc>
          <w:tcPr>
            <w:tcW w:w="992"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szCs w:val="21"/>
              </w:rPr>
              <w:t>预计采购数量</w:t>
            </w:r>
          </w:p>
        </w:tc>
        <w:tc>
          <w:tcPr>
            <w:tcW w:w="993"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最高限价（元）</w:t>
            </w:r>
          </w:p>
        </w:tc>
        <w:tc>
          <w:tcPr>
            <w:tcW w:w="1115"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指导</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品牌</w:t>
            </w:r>
          </w:p>
        </w:tc>
        <w:tc>
          <w:tcPr>
            <w:tcW w:w="966"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选定</w:t>
            </w:r>
          </w:p>
          <w:p>
            <w:pPr>
              <w:widowControl/>
              <w:snapToGrid w:val="0"/>
              <w:jc w:val="center"/>
              <w:rPr>
                <w:rFonts w:ascii="宋体" w:hAnsi="宋体" w:cs="宋体"/>
                <w:bCs/>
                <w:kern w:val="0"/>
                <w:szCs w:val="21"/>
              </w:rPr>
            </w:pPr>
            <w:r>
              <w:rPr>
                <w:rFonts w:hint="eastAsia" w:cs="宋体" w:asciiTheme="minorEastAsia" w:hAnsiTheme="minorEastAsia" w:eastAsiaTheme="minorEastAsia"/>
                <w:bCs/>
                <w:color w:val="000000"/>
                <w:szCs w:val="21"/>
              </w:rPr>
              <w:t>品牌</w:t>
            </w:r>
          </w:p>
        </w:tc>
        <w:tc>
          <w:tcPr>
            <w:tcW w:w="1065" w:type="dxa"/>
            <w:vAlign w:val="center"/>
          </w:tcPr>
          <w:p>
            <w:pPr>
              <w:widowControl/>
              <w:snapToGrid w:val="0"/>
              <w:jc w:val="center"/>
              <w:rPr>
                <w:rFonts w:ascii="宋体" w:hAnsi="宋体" w:cs="宋体"/>
                <w:bCs/>
                <w:kern w:val="0"/>
                <w:szCs w:val="21"/>
              </w:rPr>
            </w:pPr>
            <w:r>
              <w:rPr>
                <w:rFonts w:hint="eastAsia" w:ascii="宋体" w:hAnsi="宋体" w:cs="宋体"/>
                <w:bCs/>
                <w:kern w:val="0"/>
                <w:szCs w:val="21"/>
              </w:rPr>
              <w:t>投标单价</w:t>
            </w:r>
          </w:p>
          <w:p>
            <w:pPr>
              <w:widowControl/>
              <w:snapToGrid w:val="0"/>
              <w:jc w:val="center"/>
              <w:rPr>
                <w:rFonts w:ascii="宋体" w:hAnsi="宋体" w:cs="宋体"/>
                <w:bCs/>
                <w:kern w:val="0"/>
                <w:szCs w:val="21"/>
              </w:rPr>
            </w:pPr>
            <w:r>
              <w:rPr>
                <w:rFonts w:hint="eastAsia" w:ascii="宋体" w:hAnsi="宋体" w:cs="宋体"/>
                <w:bCs/>
                <w:kern w:val="0"/>
                <w:szCs w:val="21"/>
              </w:rPr>
              <w:t>（元）</w:t>
            </w:r>
          </w:p>
        </w:tc>
        <w:tc>
          <w:tcPr>
            <w:tcW w:w="1065" w:type="dxa"/>
            <w:vAlign w:val="center"/>
          </w:tcPr>
          <w:p>
            <w:pPr>
              <w:widowControl/>
              <w:snapToGrid w:val="0"/>
              <w:jc w:val="center"/>
              <w:rPr>
                <w:rFonts w:ascii="宋体" w:hAnsi="宋体" w:cs="宋体"/>
                <w:bCs/>
                <w:kern w:val="0"/>
                <w:szCs w:val="21"/>
              </w:rPr>
            </w:pPr>
            <w:r>
              <w:rPr>
                <w:rFonts w:hint="eastAsia" w:ascii="宋体" w:hAnsi="宋体" w:cs="宋体"/>
                <w:bCs/>
                <w:kern w:val="0"/>
                <w:szCs w:val="21"/>
              </w:rPr>
              <w:t>投标合价</w:t>
            </w:r>
          </w:p>
          <w:p>
            <w:pPr>
              <w:widowControl/>
              <w:snapToGrid w:val="0"/>
              <w:jc w:val="center"/>
              <w:rPr>
                <w:rFonts w:ascii="宋体" w:hAnsi="宋体" w:cs="宋体"/>
                <w:bCs/>
                <w:kern w:val="0"/>
                <w:szCs w:val="21"/>
              </w:rPr>
            </w:pPr>
            <w:r>
              <w:rPr>
                <w:rFonts w:hint="eastAsia" w:ascii="宋体" w:hAnsi="宋体" w:cs="宋体"/>
                <w:bCs/>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奥尔良鸡丁</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六和、新天地</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黑椒鸡块</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纳百味、昊瑞福</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澳洲大串</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960g×10袋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纳百味、昊瑞福</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黑椒鸡扒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纳百味、瑞发德</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迷你肉串</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950g×10袋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雪花鸡排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雷尼、金锋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奥尔良腿排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0.95kg*10袋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奥尔良全腿</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1.08kg×10袋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连心脆</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昊瑞福、六和</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无骨鸡柳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8.00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雷尼、金锋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脆皮串</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1kg*6袋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12.50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干炸里脊</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黑椒肉柳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新天地、安井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蚝油肉片</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新天地、金锋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乌鸡肉扒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惠丰、惠万家</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鸡肉丸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无双剑翅</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0.95kg×10袋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17.50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清真烤肠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1.9kg*6袋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228</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清真肉卷</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5kg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昊瑞福、伊淇</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雪花培根</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惠万家、洪梅</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经典肉肠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3.2kg×6袋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广汇、众品</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方腿</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250g*30只</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凯兴</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热狗烤肠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1.9kg×10袋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谷鸿、金锋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切片火腿</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夫宇、双奇</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烧烤肠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12kg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4.75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夫宇</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撒尿肉丸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安井、嘉庚</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甜不辣</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霞糕</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海仔撒尿肉丸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开花肠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Q鱼板</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霞迷饺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虾丸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千夜豆腐</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夹心蟹排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水晶包</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夹心鱼排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鱼豆腐</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包心鱼豆腐</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爆汁小鱼丸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闽南香肉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虾味火锅饺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北海翅</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包心鱼卷</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烤鱼棒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夹心鱼饼</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包心鱼丸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香辣鱼果</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龙虾排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蟹柳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迷你燕饺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鱼籽包</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14.75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脆骨啵啵肠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黄金蛋饺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10袋*6盒</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狮子头</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香菇贡丸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玉米香肠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安井、海欣</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麻辣香包</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夹心龙虾味饼</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香脆藕盒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800g*10</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亲亲肠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安井、纳百味</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大里脊肉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30支*10袋*1.46kg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阿公、金锋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脆骨肠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60g*50根*6袋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众品、广汇</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龙虾球</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纯肉肠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80g*30根*8袋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12.45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广汇、世香源</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椒麻辣子鸡</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华宝、学子膳</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巴沙鱼片</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金锋、云中游</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奥尔良大鸡排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2kg*5袋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盐酥鸡</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纳佰味、昊瑞福</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黑椒风味柳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金锋、新天地</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鸡柳排条</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纳佰味、金锋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大肉肠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19kg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世香源、众品</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培根</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12kg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惠万家、洪梅</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奥尔良胸排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华宝、源之香</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滑油鸡丁</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华宝、新天地</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骨肉相连</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8kg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纳佰味、源之香</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鸡米花</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纳佰味、源之香</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脆香藕盒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昊瑞福、绿宝莲</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片片肠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八喜</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雪花肉排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华宝、金锋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雪花鸡柳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9.5kg箱</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纳佰味、雷尼</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里脊大肉串</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12.38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恰味香</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藤椒琵琶腿</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13.25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蛋肉卷</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8.85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乌鸡扒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9.40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名佑、惠万家</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红烧大排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8.38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睿展、东大</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川香鸡柳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6.94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六和、昊瑞福</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牙签肉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7.83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纳佰味、东大</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千张卷肉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东大、金锋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面筋塞肉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金锋、依蒙</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滑水鸡丁</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金锋、新天地</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大鸡排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1.75kg*6袋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金锋、阿公</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卡兹脆鸡排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1kg*8袋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睿展、昊瑞福</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锅包肉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1kg*8袋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睿展、金锋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众福烤肠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1.95kg*8袋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8.87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众品</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牛肉卷</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伊淇</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米兰虾饼</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安井、鑫德翔</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火腿片</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14kg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6.18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双奇、安井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辣子鸡</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16kg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6.08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华宝、金锋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绿茶佛饼</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7.42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鑫德翔</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柳叶脆香鸡</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5.13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小酥肉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10.00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安井、连冠</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韩式炸鸡</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金锋、昊瑞福</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调理鸡肉丁</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 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正大伴翅</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1kg*10袋 </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椒香鸡块</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1kg*10袋 </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粒粒吉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1kg*10袋 </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香肠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3kg*4袋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10.88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蛋饺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150g*10包（6袋／包）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9.89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110</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芝士年糕混合装三色</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1*20袋*500克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安井、海欣</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黑椒鸭胸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5千克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10.65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海阳、膳立方</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112</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小酥肉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800克*10袋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9.13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连冠、金锋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113</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安井紫薯球</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114</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黄乳麻吉烧</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2.5kg*4袋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安井、大地</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115</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海欣玉米肠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1.5kg*8袋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安井、海欣</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116</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黄金糕</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1.75kg*4袋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安井、慈溪明州</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117</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鸭血</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300g*20盒</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3.50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红遍天、华宝</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无骨鸡柳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20斤</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7.25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金锋、小坤头</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黑椒肉粒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9.38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安井、学子膳</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法式烤排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芳厨、乡润</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肥牛</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5kg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安井、伊淇</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撒尿牛丸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w:t>
            </w:r>
            <w:r>
              <w:rPr>
                <w:rFonts w:hint="eastAsia" w:cs="宋体" w:asciiTheme="minorEastAsia" w:hAnsiTheme="minorEastAsia" w:eastAsiaTheme="minorEastAsia"/>
                <w:color w:val="000000"/>
                <w:kern w:val="0"/>
                <w:szCs w:val="21"/>
                <w:lang w:bidi="ar"/>
              </w:rPr>
              <w:t>骨肉相连</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0.9kg</w:t>
            </w:r>
            <w:r>
              <w:rPr>
                <w:rFonts w:hint="eastAsia" w:cs="宋体" w:asciiTheme="minorEastAsia" w:hAnsiTheme="minorEastAsia" w:eastAsiaTheme="minorEastAsia"/>
                <w:color w:val="000000"/>
                <w:kern w:val="0"/>
                <w:szCs w:val="21"/>
                <w:lang w:bidi="ar"/>
              </w:rPr>
              <w:t>×</w:t>
            </w:r>
            <w:r>
              <w:rPr>
                <w:rStyle w:val="39"/>
                <w:rFonts w:asciiTheme="minorEastAsia" w:hAnsiTheme="minorEastAsia" w:eastAsiaTheme="minorEastAsia"/>
                <w:sz w:val="21"/>
                <w:szCs w:val="21"/>
                <w:lang w:bidi="ar"/>
              </w:rPr>
              <w:t>10</w:t>
            </w:r>
            <w:r>
              <w:rPr>
                <w:rFonts w:hint="eastAsia" w:cs="宋体" w:asciiTheme="minorEastAsia" w:hAnsiTheme="minorEastAsia" w:eastAsiaTheme="minorEastAsia"/>
                <w:color w:val="000000"/>
                <w:kern w:val="0"/>
                <w:szCs w:val="21"/>
                <w:lang w:bidi="ar"/>
              </w:rPr>
              <w:t>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124</w:t>
            </w:r>
          </w:p>
        </w:tc>
        <w:tc>
          <w:tcPr>
            <w:tcW w:w="1134"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w:t>
            </w:r>
            <w:r>
              <w:rPr>
                <w:rFonts w:hint="eastAsia" w:cs="宋体" w:asciiTheme="minorEastAsia" w:hAnsiTheme="minorEastAsia" w:eastAsiaTheme="minorEastAsia"/>
                <w:color w:val="000000"/>
                <w:kern w:val="0"/>
                <w:szCs w:val="21"/>
                <w:lang w:bidi="ar"/>
              </w:rPr>
              <w:t>鸡米花</w:t>
            </w:r>
          </w:p>
        </w:tc>
        <w:tc>
          <w:tcPr>
            <w:tcW w:w="1576"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1kg</w:t>
            </w:r>
            <w:r>
              <w:rPr>
                <w:rFonts w:hint="eastAsia" w:cs="宋体" w:asciiTheme="minorEastAsia" w:hAnsiTheme="minorEastAsia" w:eastAsiaTheme="minorEastAsia"/>
                <w:color w:val="000000"/>
                <w:kern w:val="0"/>
                <w:szCs w:val="21"/>
                <w:lang w:bidi="ar"/>
              </w:rPr>
              <w:t>×</w:t>
            </w:r>
            <w:r>
              <w:rPr>
                <w:rStyle w:val="39"/>
                <w:rFonts w:asciiTheme="minorEastAsia" w:hAnsiTheme="minorEastAsia" w:eastAsiaTheme="minorEastAsia"/>
                <w:sz w:val="21"/>
                <w:szCs w:val="21"/>
                <w:lang w:bidi="ar"/>
              </w:rPr>
              <w:t>10</w:t>
            </w:r>
            <w:r>
              <w:rPr>
                <w:rFonts w:hint="eastAsia" w:cs="宋体" w:asciiTheme="minorEastAsia" w:hAnsiTheme="minorEastAsia" w:eastAsiaTheme="minorEastAsia"/>
                <w:color w:val="000000"/>
                <w:kern w:val="0"/>
                <w:szCs w:val="21"/>
                <w:lang w:bidi="ar"/>
              </w:rPr>
              <w:t>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昊瑞福、东大</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125</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大红肠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1.5kg*10</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10.75 </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双奇、夫宇</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126</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鲜肉馅</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10.75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得林胜、吴瑞福</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127</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香菇青菜馅</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得林胜、吴瑞福</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128</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梅干菜肉馅</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得林胜、吴瑞福</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129</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豆沙馅</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6.75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得林胜、吴瑞福</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130</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里脊肉串</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600g（20串）x20袋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11.50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豪特、鹰浩</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131</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葱油饼</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900gx10袋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7.75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张麦夫、天之味</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132</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蛋挞液</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color w:val="000000"/>
                <w:kern w:val="0"/>
                <w:szCs w:val="21"/>
                <w:lang w:bidi="ar"/>
              </w:rPr>
              <w:t>500g*12盒</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color w:val="000000"/>
                <w:kern w:val="0"/>
                <w:szCs w:val="21"/>
                <w:lang w:bidi="ar"/>
              </w:rPr>
              <w:t>11.75</w:t>
            </w:r>
            <w:r>
              <w:rPr>
                <w:rFonts w:hint="eastAsia" w:cs="宋体" w:asciiTheme="minorEastAsia" w:hAnsiTheme="minorEastAsia" w:eastAsiaTheme="minorEastAsia"/>
                <w:color w:val="000000"/>
                <w:kern w:val="0"/>
                <w:szCs w:val="21"/>
                <w:lang w:bidi="ar"/>
              </w:rPr>
              <w:t xml:space="preserve">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欧斯贝、千味央厨</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133</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蛋挞皮</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color w:val="000000"/>
                <w:kern w:val="0"/>
                <w:szCs w:val="21"/>
                <w:lang w:bidi="ar"/>
              </w:rPr>
              <w:t>600g*10袋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color w:val="000000"/>
                <w:kern w:val="0"/>
                <w:szCs w:val="21"/>
                <w:lang w:bidi="ar"/>
              </w:rPr>
              <w:t>11.00</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欧斯贝、千味央厨</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134</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鲜味鸡丝</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1kg</w:t>
            </w:r>
            <w:r>
              <w:rPr>
                <w:rStyle w:val="40"/>
                <w:rFonts w:hint="eastAsia" w:ascii="MS Mincho" w:hAnsi="MS Mincho" w:cs="MS Mincho" w:eastAsiaTheme="minorEastAsia"/>
                <w:sz w:val="21"/>
                <w:szCs w:val="21"/>
                <w:lang w:bidi="ar"/>
              </w:rPr>
              <w:t>*</w:t>
            </w:r>
            <w:r>
              <w:rPr>
                <w:rFonts w:hint="eastAsia" w:cs="宋体" w:asciiTheme="minorEastAsia" w:hAnsiTheme="minorEastAsia" w:eastAsiaTheme="minorEastAsia"/>
                <w:color w:val="000000"/>
                <w:kern w:val="0"/>
                <w:szCs w:val="21"/>
                <w:lang w:bidi="ar"/>
              </w:rPr>
              <w:t>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60袋</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纳佰味、吴瑞福</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135</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老母鸡</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1.37Kg*8只</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11.75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德通、鲁西</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136</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香酥烧饼</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60g*200个</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张麦夫、天之味</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137</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香菇卤肉风味饭团</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150g*80</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思念、安井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138</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金丝鸡柳</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850gx10袋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11.75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德邻、安井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139</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弹力豆腐串</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900gx10袋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源香、安井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140</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臭豆腐串</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1000gx6袋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11.75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三睿、安井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141</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腿碎肉</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12kg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7.25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鸿润、安徽</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142</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喉骨</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逸马、南洋</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143</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肉肠</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10kg</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13.25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海阳、御潮</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144</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清真水饺</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350克*20袋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14.75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伊穆斋、金品冠</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145</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火锅油条</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500g*12包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安井、思念</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146</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迷你小油条</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500g*10包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安井、思念</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147</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黑椒鸭柳</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1kg*10包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文畅、安井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148</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四季青玉米粒</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1kg*10包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4.75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四季青、七稼二</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149</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鸡肉卷</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150g*60个</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10.25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天健、透香源</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150</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千页豆腐</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2.5kg*4包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5.75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安井、海欣</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151</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鸡翅尖</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1kg*10包 </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六和、博大</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152</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真享肉排</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1kg*10包 </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9.75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广泋、夫宇</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153</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鸭脯肉</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5kg /箱</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10.75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惠丰、膳立方</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154</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黑椒吉排</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2.5kg*4包 </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10.25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正大食品、昊瑞福</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155</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毛肚</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2.5kg/袋</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21.75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伊淇、安井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156</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虾滑</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500g*20包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44.75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鲜美来、安井</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157</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王中王火腿肠</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30g*90根</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14.75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双汇、众品</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158</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小鲜肉</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2.5kg*4包</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8.75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明铭、昊瑞福</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159</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牛肉卷</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5kg /箱</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19.25 </w:t>
            </w:r>
          </w:p>
        </w:tc>
        <w:tc>
          <w:tcPr>
            <w:tcW w:w="1115"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伊淇、思念</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160</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飘香肉丝（鸭肉）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15kg /箱</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jc w:val="center"/>
            </w:pPr>
            <w:r>
              <w:rPr>
                <w:rFonts w:hint="eastAsia" w:cs="宋体" w:asciiTheme="minorEastAsia" w:hAnsiTheme="minorEastAsia" w:eastAsiaTheme="minorEastAsia"/>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8.70</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永臻</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161</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飘香肉片（鸭肉）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15kg /箱</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jc w:val="center"/>
            </w:pPr>
            <w:r>
              <w:rPr>
                <w:rFonts w:hint="eastAsia" w:cs="宋体" w:asciiTheme="minorEastAsia" w:hAnsiTheme="minorEastAsia" w:eastAsiaTheme="minorEastAsia"/>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8.70</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永臻</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162</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美味肉丁</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8kg /箱</w:t>
            </w:r>
          </w:p>
        </w:tc>
        <w:tc>
          <w:tcPr>
            <w:tcW w:w="681" w:type="dxa"/>
            <w:vAlign w:val="center"/>
          </w:tcPr>
          <w:p>
            <w:pPr>
              <w:jc w:val="center"/>
            </w:pPr>
            <w:r>
              <w:rPr>
                <w:rFonts w:hint="eastAsia" w:cs="宋体" w:asciiTheme="minorEastAsia" w:hAnsiTheme="minorEastAsia" w:eastAsiaTheme="minorEastAsia"/>
                <w:bCs/>
                <w:szCs w:val="21"/>
              </w:rPr>
              <w:t>斤</w:t>
            </w:r>
          </w:p>
        </w:tc>
        <w:tc>
          <w:tcPr>
            <w:tcW w:w="992" w:type="dxa"/>
            <w:vAlign w:val="center"/>
          </w:tcPr>
          <w:p>
            <w:pPr>
              <w:jc w:val="center"/>
            </w:pPr>
            <w:r>
              <w:rPr>
                <w:rFonts w:hint="eastAsia" w:cs="宋体" w:asciiTheme="minorEastAsia" w:hAnsiTheme="minorEastAsia" w:eastAsiaTheme="minorEastAsia"/>
                <w:kern w:val="0"/>
                <w:szCs w:val="21"/>
              </w:rPr>
              <w:t>100</w:t>
            </w:r>
          </w:p>
        </w:tc>
        <w:tc>
          <w:tcPr>
            <w:tcW w:w="99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8.50</w:t>
            </w:r>
          </w:p>
        </w:tc>
        <w:tc>
          <w:tcPr>
            <w:tcW w:w="1115"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适客</w:t>
            </w: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43" w:type="dxa"/>
            <w:gridSpan w:val="2"/>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合  计</w:t>
            </w:r>
          </w:p>
        </w:tc>
        <w:tc>
          <w:tcPr>
            <w:tcW w:w="1576" w:type="dxa"/>
            <w:vAlign w:val="center"/>
          </w:tcPr>
          <w:p>
            <w:pPr>
              <w:spacing w:line="240" w:lineRule="exact"/>
              <w:jc w:val="center"/>
              <w:rPr>
                <w:rFonts w:cs="宋体" w:asciiTheme="minorEastAsia" w:hAnsiTheme="minorEastAsia" w:eastAsiaTheme="minorEastAsia"/>
                <w:color w:val="000000"/>
                <w:szCs w:val="21"/>
              </w:rPr>
            </w:pPr>
          </w:p>
        </w:tc>
        <w:tc>
          <w:tcPr>
            <w:tcW w:w="681" w:type="dxa"/>
            <w:vAlign w:val="center"/>
          </w:tcPr>
          <w:p>
            <w:pPr>
              <w:spacing w:line="240" w:lineRule="exact"/>
              <w:jc w:val="center"/>
              <w:rPr>
                <w:rFonts w:cs="宋体" w:asciiTheme="minorEastAsia" w:hAnsiTheme="minorEastAsia" w:eastAsiaTheme="minorEastAsia"/>
                <w:color w:val="000000"/>
                <w:szCs w:val="21"/>
              </w:rPr>
            </w:pPr>
          </w:p>
        </w:tc>
        <w:tc>
          <w:tcPr>
            <w:tcW w:w="992" w:type="dxa"/>
            <w:vAlign w:val="center"/>
          </w:tcPr>
          <w:p>
            <w:pPr>
              <w:spacing w:line="240" w:lineRule="exact"/>
              <w:jc w:val="center"/>
              <w:rPr>
                <w:rFonts w:cs="宋体" w:asciiTheme="minorEastAsia" w:hAnsiTheme="minorEastAsia" w:eastAsiaTheme="minorEastAsia"/>
                <w:color w:val="000000"/>
                <w:szCs w:val="21"/>
              </w:rPr>
            </w:pPr>
          </w:p>
        </w:tc>
        <w:tc>
          <w:tcPr>
            <w:tcW w:w="993" w:type="dxa"/>
            <w:vAlign w:val="center"/>
          </w:tcPr>
          <w:p>
            <w:pPr>
              <w:spacing w:line="240" w:lineRule="exact"/>
              <w:jc w:val="center"/>
              <w:rPr>
                <w:rFonts w:cs="宋体" w:asciiTheme="minorEastAsia" w:hAnsiTheme="minorEastAsia" w:eastAsiaTheme="minorEastAsia"/>
                <w:color w:val="000000"/>
                <w:szCs w:val="21"/>
              </w:rPr>
            </w:pPr>
          </w:p>
        </w:tc>
        <w:tc>
          <w:tcPr>
            <w:tcW w:w="1115" w:type="dxa"/>
            <w:vAlign w:val="center"/>
          </w:tcPr>
          <w:p>
            <w:pPr>
              <w:spacing w:line="240" w:lineRule="exact"/>
              <w:jc w:val="center"/>
              <w:rPr>
                <w:rFonts w:cs="宋体" w:asciiTheme="minorEastAsia" w:hAnsiTheme="minorEastAsia" w:eastAsiaTheme="minorEastAsia"/>
                <w:color w:val="000000"/>
                <w:szCs w:val="21"/>
              </w:rPr>
            </w:pPr>
          </w:p>
        </w:tc>
        <w:tc>
          <w:tcPr>
            <w:tcW w:w="966"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color w:val="000000"/>
                <w:szCs w:val="21"/>
              </w:rPr>
            </w:pPr>
          </w:p>
        </w:tc>
        <w:tc>
          <w:tcPr>
            <w:tcW w:w="1065" w:type="dxa"/>
            <w:vAlign w:val="center"/>
          </w:tcPr>
          <w:p>
            <w:pPr>
              <w:spacing w:line="240" w:lineRule="exact"/>
              <w:jc w:val="center"/>
              <w:rPr>
                <w:rFonts w:cs="宋体" w:asciiTheme="minorEastAsia" w:hAnsiTheme="minorEastAsia" w:eastAsiaTheme="minorEastAsia"/>
                <w:szCs w:val="21"/>
              </w:rPr>
            </w:pPr>
          </w:p>
        </w:tc>
      </w:tr>
    </w:tbl>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w:t>
      </w:r>
      <w:r>
        <w:rPr>
          <w:rFonts w:hint="eastAsia"/>
          <w:sz w:val="24"/>
          <w:szCs w:val="24"/>
        </w:rPr>
        <w:t xml:space="preserve"> </w:t>
      </w:r>
      <w:r>
        <w:rPr>
          <w:rFonts w:hint="eastAsia" w:ascii="宋体" w:hAnsi="宋体" w:cs="宋体"/>
          <w:b/>
          <w:color w:val="000000"/>
          <w:kern w:val="0"/>
          <w:sz w:val="24"/>
          <w:szCs w:val="24"/>
        </w:rPr>
        <w:t>投标人必须使用表中指导品牌按计量单位、预计采购数量进行报价，投标报价保留小数点后两位，所有品种必须全部报价，否则为无效标书。</w:t>
      </w:r>
    </w:p>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autoSpaceDE w:val="0"/>
        <w:autoSpaceDN w:val="0"/>
        <w:adjustRightInd w:val="0"/>
        <w:spacing w:line="480" w:lineRule="exact"/>
        <w:ind w:firstLine="480" w:firstLineChars="200"/>
        <w:rPr>
          <w:rFonts w:ascii="宋体" w:hAnsi="Arial" w:cs="宋体"/>
          <w:sz w:val="24"/>
          <w:szCs w:val="24"/>
        </w:rPr>
      </w:pPr>
      <w:r>
        <w:rPr>
          <w:rFonts w:hint="eastAsia" w:ascii="宋体" w:hAnsi="宋体" w:cs="宋体"/>
          <w:color w:val="000000"/>
          <w:kern w:val="0"/>
          <w:sz w:val="24"/>
          <w:szCs w:val="24"/>
        </w:rPr>
        <w:t>3.</w:t>
      </w:r>
      <w:r>
        <w:rPr>
          <w:rFonts w:hint="eastAsia"/>
          <w:sz w:val="24"/>
          <w:szCs w:val="24"/>
        </w:rPr>
        <w:t xml:space="preserve"> </w:t>
      </w:r>
      <w:r>
        <w:rPr>
          <w:rFonts w:hint="eastAsia" w:ascii="宋体" w:hAnsi="宋体" w:cs="宋体"/>
          <w:color w:val="000000"/>
          <w:kern w:val="0"/>
          <w:sz w:val="24"/>
          <w:szCs w:val="24"/>
        </w:rPr>
        <w:t>供货期内投标单价不得调整。</w:t>
      </w:r>
    </w:p>
    <w:p>
      <w:pPr>
        <w:autoSpaceDE w:val="0"/>
        <w:autoSpaceDN w:val="0"/>
        <w:adjustRightInd w:val="0"/>
        <w:spacing w:line="480" w:lineRule="exact"/>
        <w:ind w:firstLine="480" w:firstLineChars="200"/>
        <w:rPr>
          <w:rFonts w:ascii="宋体" w:hAnsi="Arial" w:cs="宋体"/>
          <w:sz w:val="24"/>
          <w:szCs w:val="24"/>
        </w:rPr>
      </w:pPr>
      <w:r>
        <w:rPr>
          <w:rFonts w:hint="eastAsia" w:ascii="宋体" w:hAnsi="Arial" w:cs="宋体"/>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公章、签字，违反任何一项均以废标处理。</w:t>
      </w:r>
    </w:p>
    <w:p>
      <w:pPr>
        <w:autoSpaceDE w:val="0"/>
        <w:autoSpaceDN w:val="0"/>
        <w:adjustRightInd w:val="0"/>
        <w:spacing w:line="440" w:lineRule="exact"/>
        <w:ind w:firstLine="420" w:firstLineChars="200"/>
        <w:rPr>
          <w:rFonts w:ascii="宋体" w:hAnsi="Arial" w:cs="宋体"/>
          <w:szCs w:val="21"/>
        </w:rPr>
      </w:pPr>
    </w:p>
    <w:p>
      <w:pPr>
        <w:autoSpaceDE w:val="0"/>
        <w:autoSpaceDN w:val="0"/>
        <w:adjustRightInd w:val="0"/>
        <w:spacing w:line="52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52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52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52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jc w:val="center"/>
        <w:rPr>
          <w:rFonts w:ascii="宋体" w:hAnsi="宋体" w:cs="楷体"/>
          <w:b/>
          <w:bCs/>
          <w:sz w:val="28"/>
          <w:szCs w:val="28"/>
        </w:rPr>
      </w:pPr>
      <w:r>
        <w:rPr>
          <w:rFonts w:ascii="宋体" w:hAnsi="宋体" w:cs="楷体"/>
          <w:b/>
          <w:bCs/>
          <w:sz w:val="28"/>
          <w:szCs w:val="28"/>
        </w:rPr>
        <w:br w:type="page"/>
      </w:r>
    </w:p>
    <w:p>
      <w:pPr>
        <w:tabs>
          <w:tab w:val="left" w:pos="953"/>
        </w:tabs>
        <w:spacing w:after="100" w:afterAutospacing="1" w:line="600" w:lineRule="exact"/>
        <w:jc w:val="center"/>
        <w:rPr>
          <w:rFonts w:ascii="宋体" w:hAnsi="宋体" w:cs="黑体"/>
          <w:b/>
          <w:sz w:val="32"/>
          <w:szCs w:val="32"/>
          <w:lang w:val="zh-CN"/>
        </w:rPr>
      </w:pP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after="100" w:afterAutospacing="1"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标书文件条款，并按采购项目需求对二标段水饺项目作如下报价：</w:t>
      </w:r>
    </w:p>
    <w:tbl>
      <w:tblPr>
        <w:tblStyle w:val="15"/>
        <w:tblW w:w="10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6"/>
        <w:gridCol w:w="1578"/>
        <w:gridCol w:w="682"/>
        <w:gridCol w:w="994"/>
        <w:gridCol w:w="995"/>
        <w:gridCol w:w="1116"/>
        <w:gridCol w:w="968"/>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0"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1136"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货物名称</w:t>
            </w:r>
          </w:p>
        </w:tc>
        <w:tc>
          <w:tcPr>
            <w:tcW w:w="1578"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包装规格</w:t>
            </w:r>
          </w:p>
        </w:tc>
        <w:tc>
          <w:tcPr>
            <w:tcW w:w="682"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计量</w:t>
            </w:r>
          </w:p>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单位</w:t>
            </w:r>
          </w:p>
        </w:tc>
        <w:tc>
          <w:tcPr>
            <w:tcW w:w="994"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szCs w:val="21"/>
              </w:rPr>
              <w:t>预计采购数量</w:t>
            </w:r>
          </w:p>
        </w:tc>
        <w:tc>
          <w:tcPr>
            <w:tcW w:w="995"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最高限价（元）</w:t>
            </w:r>
          </w:p>
        </w:tc>
        <w:tc>
          <w:tcPr>
            <w:tcW w:w="1116"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指导</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品牌</w:t>
            </w:r>
          </w:p>
        </w:tc>
        <w:tc>
          <w:tcPr>
            <w:tcW w:w="968"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选定</w:t>
            </w:r>
          </w:p>
          <w:p>
            <w:pPr>
              <w:widowControl/>
              <w:snapToGrid w:val="0"/>
              <w:jc w:val="center"/>
              <w:rPr>
                <w:rFonts w:ascii="宋体" w:hAnsi="宋体" w:cs="宋体"/>
                <w:bCs/>
                <w:kern w:val="0"/>
                <w:szCs w:val="21"/>
              </w:rPr>
            </w:pPr>
            <w:r>
              <w:rPr>
                <w:rFonts w:hint="eastAsia" w:cs="宋体" w:asciiTheme="minorEastAsia" w:hAnsiTheme="minorEastAsia" w:eastAsiaTheme="minorEastAsia"/>
                <w:bCs/>
                <w:color w:val="000000"/>
                <w:szCs w:val="21"/>
              </w:rPr>
              <w:t>品牌</w:t>
            </w:r>
          </w:p>
        </w:tc>
        <w:tc>
          <w:tcPr>
            <w:tcW w:w="1066" w:type="dxa"/>
            <w:vAlign w:val="center"/>
          </w:tcPr>
          <w:p>
            <w:pPr>
              <w:widowControl/>
              <w:snapToGrid w:val="0"/>
              <w:jc w:val="center"/>
              <w:rPr>
                <w:rFonts w:ascii="宋体" w:hAnsi="宋体" w:cs="宋体"/>
                <w:bCs/>
                <w:kern w:val="0"/>
                <w:szCs w:val="21"/>
              </w:rPr>
            </w:pPr>
            <w:r>
              <w:rPr>
                <w:rFonts w:hint="eastAsia" w:ascii="宋体" w:hAnsi="宋体" w:cs="宋体"/>
                <w:bCs/>
                <w:kern w:val="0"/>
                <w:szCs w:val="21"/>
              </w:rPr>
              <w:t>投标单价</w:t>
            </w:r>
          </w:p>
          <w:p>
            <w:pPr>
              <w:widowControl/>
              <w:snapToGrid w:val="0"/>
              <w:jc w:val="center"/>
              <w:rPr>
                <w:rFonts w:ascii="宋体" w:hAnsi="宋体" w:cs="宋体"/>
                <w:bCs/>
                <w:kern w:val="0"/>
                <w:szCs w:val="21"/>
              </w:rPr>
            </w:pPr>
            <w:r>
              <w:rPr>
                <w:rFonts w:hint="eastAsia" w:ascii="宋体" w:hAnsi="宋体" w:cs="宋体"/>
                <w:bCs/>
                <w:kern w:val="0"/>
                <w:szCs w:val="21"/>
              </w:rPr>
              <w:t>（元）</w:t>
            </w:r>
          </w:p>
        </w:tc>
        <w:tc>
          <w:tcPr>
            <w:tcW w:w="1066" w:type="dxa"/>
            <w:vAlign w:val="center"/>
          </w:tcPr>
          <w:p>
            <w:pPr>
              <w:widowControl/>
              <w:snapToGrid w:val="0"/>
              <w:jc w:val="center"/>
              <w:rPr>
                <w:rFonts w:ascii="宋体" w:hAnsi="宋体" w:cs="宋体"/>
                <w:bCs/>
                <w:kern w:val="0"/>
                <w:szCs w:val="21"/>
              </w:rPr>
            </w:pPr>
            <w:r>
              <w:rPr>
                <w:rFonts w:hint="eastAsia" w:ascii="宋体" w:hAnsi="宋体" w:cs="宋体"/>
                <w:bCs/>
                <w:kern w:val="0"/>
                <w:szCs w:val="21"/>
              </w:rPr>
              <w:t>投标合价</w:t>
            </w:r>
          </w:p>
          <w:p>
            <w:pPr>
              <w:widowControl/>
              <w:snapToGrid w:val="0"/>
              <w:jc w:val="center"/>
              <w:rPr>
                <w:rFonts w:ascii="宋体" w:hAnsi="宋体" w:cs="宋体"/>
                <w:bCs/>
                <w:kern w:val="0"/>
                <w:szCs w:val="21"/>
              </w:rPr>
            </w:pPr>
            <w:r>
              <w:rPr>
                <w:rFonts w:hint="eastAsia" w:ascii="宋体" w:hAnsi="宋体" w:cs="宋体"/>
                <w:bCs/>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1136"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白菜肉饺</w:t>
            </w:r>
          </w:p>
        </w:tc>
        <w:tc>
          <w:tcPr>
            <w:tcW w:w="1578"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pPr>
              <w:jc w:val="center"/>
            </w:pPr>
            <w:r>
              <w:rPr>
                <w:rFonts w:hint="eastAsia" w:cs="宋体" w:asciiTheme="minorEastAsia" w:hAnsiTheme="minorEastAsia" w:eastAsiaTheme="minorEastAsia"/>
                <w:bCs/>
                <w:szCs w:val="21"/>
              </w:rPr>
              <w:t>斤</w:t>
            </w:r>
          </w:p>
        </w:tc>
        <w:tc>
          <w:tcPr>
            <w:tcW w:w="99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650</w:t>
            </w:r>
          </w:p>
        </w:tc>
        <w:tc>
          <w:tcPr>
            <w:tcW w:w="99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7.00 </w:t>
            </w:r>
          </w:p>
        </w:tc>
        <w:tc>
          <w:tcPr>
            <w:tcW w:w="111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113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纯猪肉饺</w:t>
            </w:r>
          </w:p>
        </w:tc>
        <w:tc>
          <w:tcPr>
            <w:tcW w:w="1578"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pPr>
              <w:jc w:val="center"/>
            </w:pPr>
            <w:r>
              <w:rPr>
                <w:rFonts w:hint="eastAsia" w:cs="宋体" w:asciiTheme="minorEastAsia" w:hAnsiTheme="minorEastAsia" w:eastAsiaTheme="minorEastAsia"/>
                <w:bCs/>
                <w:szCs w:val="21"/>
              </w:rPr>
              <w:t>斤</w:t>
            </w:r>
          </w:p>
        </w:tc>
        <w:tc>
          <w:tcPr>
            <w:tcW w:w="99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1550</w:t>
            </w:r>
          </w:p>
        </w:tc>
        <w:tc>
          <w:tcPr>
            <w:tcW w:w="995"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113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荠菜肉饺</w:t>
            </w:r>
          </w:p>
        </w:tc>
        <w:tc>
          <w:tcPr>
            <w:tcW w:w="1578"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pPr>
              <w:jc w:val="center"/>
            </w:pPr>
            <w:r>
              <w:rPr>
                <w:rFonts w:hint="eastAsia" w:cs="宋体" w:asciiTheme="minorEastAsia" w:hAnsiTheme="minorEastAsia" w:eastAsiaTheme="minorEastAsia"/>
                <w:bCs/>
                <w:szCs w:val="21"/>
              </w:rPr>
              <w:t>斤</w:t>
            </w:r>
          </w:p>
        </w:tc>
        <w:tc>
          <w:tcPr>
            <w:tcW w:w="99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750</w:t>
            </w:r>
          </w:p>
        </w:tc>
        <w:tc>
          <w:tcPr>
            <w:tcW w:w="995"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113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芹菜肉饺</w:t>
            </w:r>
          </w:p>
        </w:tc>
        <w:tc>
          <w:tcPr>
            <w:tcW w:w="1578"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pPr>
              <w:jc w:val="center"/>
            </w:pPr>
            <w:r>
              <w:rPr>
                <w:rFonts w:hint="eastAsia" w:cs="宋体" w:asciiTheme="minorEastAsia" w:hAnsiTheme="minorEastAsia" w:eastAsiaTheme="minorEastAsia"/>
                <w:bCs/>
                <w:szCs w:val="21"/>
              </w:rPr>
              <w:t>斤</w:t>
            </w:r>
          </w:p>
        </w:tc>
        <w:tc>
          <w:tcPr>
            <w:tcW w:w="99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800</w:t>
            </w:r>
          </w:p>
        </w:tc>
        <w:tc>
          <w:tcPr>
            <w:tcW w:w="995"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w:t>
            </w:r>
          </w:p>
        </w:tc>
        <w:tc>
          <w:tcPr>
            <w:tcW w:w="113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韭菜肉饺</w:t>
            </w:r>
          </w:p>
        </w:tc>
        <w:tc>
          <w:tcPr>
            <w:tcW w:w="1578"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pPr>
              <w:jc w:val="center"/>
            </w:pPr>
            <w:r>
              <w:rPr>
                <w:rFonts w:hint="eastAsia" w:cs="宋体" w:asciiTheme="minorEastAsia" w:hAnsiTheme="minorEastAsia" w:eastAsiaTheme="minorEastAsia"/>
                <w:bCs/>
                <w:szCs w:val="21"/>
              </w:rPr>
              <w:t>斤</w:t>
            </w:r>
          </w:p>
        </w:tc>
        <w:tc>
          <w:tcPr>
            <w:tcW w:w="99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750</w:t>
            </w:r>
          </w:p>
        </w:tc>
        <w:tc>
          <w:tcPr>
            <w:tcW w:w="995"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w:t>
            </w:r>
          </w:p>
        </w:tc>
        <w:tc>
          <w:tcPr>
            <w:tcW w:w="113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三鲜肉饺</w:t>
            </w:r>
          </w:p>
        </w:tc>
        <w:tc>
          <w:tcPr>
            <w:tcW w:w="1578"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pPr>
              <w:jc w:val="center"/>
            </w:pPr>
            <w:r>
              <w:rPr>
                <w:rFonts w:hint="eastAsia" w:cs="宋体" w:asciiTheme="minorEastAsia" w:hAnsiTheme="minorEastAsia" w:eastAsiaTheme="minorEastAsia"/>
                <w:bCs/>
                <w:szCs w:val="21"/>
              </w:rPr>
              <w:t>斤</w:t>
            </w:r>
          </w:p>
        </w:tc>
        <w:tc>
          <w:tcPr>
            <w:tcW w:w="99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550</w:t>
            </w:r>
          </w:p>
        </w:tc>
        <w:tc>
          <w:tcPr>
            <w:tcW w:w="995"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w:t>
            </w:r>
          </w:p>
        </w:tc>
        <w:tc>
          <w:tcPr>
            <w:tcW w:w="113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香菇肉饺</w:t>
            </w:r>
          </w:p>
        </w:tc>
        <w:tc>
          <w:tcPr>
            <w:tcW w:w="1578"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pPr>
              <w:jc w:val="center"/>
            </w:pPr>
            <w:r>
              <w:rPr>
                <w:rFonts w:hint="eastAsia" w:cs="宋体" w:asciiTheme="minorEastAsia" w:hAnsiTheme="minorEastAsia" w:eastAsiaTheme="minorEastAsia"/>
                <w:bCs/>
                <w:szCs w:val="21"/>
              </w:rPr>
              <w:t>斤</w:t>
            </w:r>
          </w:p>
        </w:tc>
        <w:tc>
          <w:tcPr>
            <w:tcW w:w="99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1100</w:t>
            </w:r>
          </w:p>
        </w:tc>
        <w:tc>
          <w:tcPr>
            <w:tcW w:w="995"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w:t>
            </w:r>
          </w:p>
        </w:tc>
        <w:tc>
          <w:tcPr>
            <w:tcW w:w="113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玉米肉饺</w:t>
            </w:r>
          </w:p>
        </w:tc>
        <w:tc>
          <w:tcPr>
            <w:tcW w:w="1578"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pPr>
              <w:jc w:val="center"/>
            </w:pPr>
            <w:r>
              <w:rPr>
                <w:rFonts w:hint="eastAsia" w:cs="宋体" w:asciiTheme="minorEastAsia" w:hAnsiTheme="minorEastAsia" w:eastAsiaTheme="minorEastAsia"/>
                <w:bCs/>
                <w:szCs w:val="21"/>
              </w:rPr>
              <w:t>斤</w:t>
            </w:r>
          </w:p>
        </w:tc>
        <w:tc>
          <w:tcPr>
            <w:tcW w:w="99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8000</w:t>
            </w:r>
          </w:p>
        </w:tc>
        <w:tc>
          <w:tcPr>
            <w:tcW w:w="995"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w:t>
            </w:r>
          </w:p>
        </w:tc>
        <w:tc>
          <w:tcPr>
            <w:tcW w:w="113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韭菜鸡蛋饺</w:t>
            </w:r>
          </w:p>
        </w:tc>
        <w:tc>
          <w:tcPr>
            <w:tcW w:w="1578"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pPr>
              <w:jc w:val="center"/>
            </w:pPr>
            <w:r>
              <w:rPr>
                <w:rFonts w:hint="eastAsia" w:cs="宋体" w:asciiTheme="minorEastAsia" w:hAnsiTheme="minorEastAsia" w:eastAsiaTheme="minorEastAsia"/>
                <w:bCs/>
                <w:szCs w:val="21"/>
              </w:rPr>
              <w:t>斤</w:t>
            </w:r>
          </w:p>
        </w:tc>
        <w:tc>
          <w:tcPr>
            <w:tcW w:w="99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1100</w:t>
            </w:r>
          </w:p>
        </w:tc>
        <w:tc>
          <w:tcPr>
            <w:tcW w:w="995"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w:t>
            </w:r>
          </w:p>
        </w:tc>
        <w:tc>
          <w:tcPr>
            <w:tcW w:w="113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青菜香菇水饺</w:t>
            </w:r>
          </w:p>
        </w:tc>
        <w:tc>
          <w:tcPr>
            <w:tcW w:w="1578"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pPr>
              <w:jc w:val="center"/>
            </w:pPr>
            <w:r>
              <w:rPr>
                <w:rFonts w:hint="eastAsia" w:cs="宋体" w:asciiTheme="minorEastAsia" w:hAnsiTheme="minorEastAsia" w:eastAsiaTheme="minorEastAsia"/>
                <w:bCs/>
                <w:szCs w:val="21"/>
              </w:rPr>
              <w:t>斤</w:t>
            </w:r>
          </w:p>
        </w:tc>
        <w:tc>
          <w:tcPr>
            <w:tcW w:w="99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1150</w:t>
            </w:r>
          </w:p>
        </w:tc>
        <w:tc>
          <w:tcPr>
            <w:tcW w:w="995" w:type="dxa"/>
            <w:vAlign w:val="center"/>
          </w:tcPr>
          <w:p>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w:t>
            </w:r>
          </w:p>
        </w:tc>
        <w:tc>
          <w:tcPr>
            <w:tcW w:w="113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鲜肉馄饨</w:t>
            </w:r>
          </w:p>
        </w:tc>
        <w:tc>
          <w:tcPr>
            <w:tcW w:w="1578"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1.5kg*6包</w:t>
            </w:r>
          </w:p>
        </w:tc>
        <w:tc>
          <w:tcPr>
            <w:tcW w:w="682" w:type="dxa"/>
            <w:vAlign w:val="center"/>
          </w:tcPr>
          <w:p>
            <w:pPr>
              <w:jc w:val="center"/>
            </w:pPr>
            <w:r>
              <w:rPr>
                <w:rFonts w:hint="eastAsia" w:cs="宋体" w:asciiTheme="minorEastAsia" w:hAnsiTheme="minorEastAsia" w:eastAsiaTheme="minorEastAsia"/>
                <w:bCs/>
                <w:szCs w:val="21"/>
              </w:rPr>
              <w:t>斤</w:t>
            </w:r>
          </w:p>
        </w:tc>
        <w:tc>
          <w:tcPr>
            <w:tcW w:w="99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750</w:t>
            </w:r>
          </w:p>
        </w:tc>
        <w:tc>
          <w:tcPr>
            <w:tcW w:w="995"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14.00 </w:t>
            </w:r>
          </w:p>
        </w:tc>
        <w:tc>
          <w:tcPr>
            <w:tcW w:w="111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46" w:type="dxa"/>
            <w:gridSpan w:val="2"/>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合  计</w:t>
            </w:r>
          </w:p>
        </w:tc>
        <w:tc>
          <w:tcPr>
            <w:tcW w:w="1578" w:type="dxa"/>
            <w:vAlign w:val="center"/>
          </w:tcPr>
          <w:p>
            <w:pPr>
              <w:spacing w:line="240" w:lineRule="exact"/>
              <w:jc w:val="center"/>
              <w:rPr>
                <w:rFonts w:cs="宋体" w:asciiTheme="minorEastAsia" w:hAnsiTheme="minorEastAsia" w:eastAsiaTheme="minorEastAsia"/>
                <w:color w:val="000000"/>
                <w:szCs w:val="21"/>
              </w:rPr>
            </w:pPr>
          </w:p>
        </w:tc>
        <w:tc>
          <w:tcPr>
            <w:tcW w:w="682" w:type="dxa"/>
            <w:vAlign w:val="center"/>
          </w:tcPr>
          <w:p>
            <w:pPr>
              <w:spacing w:line="240" w:lineRule="exact"/>
              <w:jc w:val="center"/>
              <w:rPr>
                <w:rFonts w:cs="宋体" w:asciiTheme="minorEastAsia" w:hAnsiTheme="minorEastAsia" w:eastAsiaTheme="minorEastAsia"/>
                <w:color w:val="000000"/>
                <w:szCs w:val="21"/>
              </w:rPr>
            </w:pPr>
          </w:p>
        </w:tc>
        <w:tc>
          <w:tcPr>
            <w:tcW w:w="994" w:type="dxa"/>
            <w:vAlign w:val="center"/>
          </w:tcPr>
          <w:p>
            <w:pPr>
              <w:spacing w:line="240" w:lineRule="exact"/>
              <w:jc w:val="center"/>
              <w:rPr>
                <w:rFonts w:cs="宋体" w:asciiTheme="minorEastAsia" w:hAnsiTheme="minorEastAsia" w:eastAsiaTheme="minorEastAsia"/>
                <w:color w:val="000000"/>
                <w:szCs w:val="21"/>
              </w:rPr>
            </w:pPr>
          </w:p>
        </w:tc>
        <w:tc>
          <w:tcPr>
            <w:tcW w:w="995" w:type="dxa"/>
            <w:vAlign w:val="center"/>
          </w:tcPr>
          <w:p>
            <w:pPr>
              <w:spacing w:line="240" w:lineRule="exact"/>
              <w:jc w:val="center"/>
              <w:rPr>
                <w:rFonts w:cs="宋体" w:asciiTheme="minorEastAsia" w:hAnsiTheme="minorEastAsia" w:eastAsiaTheme="minorEastAsia"/>
                <w:color w:val="000000"/>
                <w:szCs w:val="21"/>
              </w:rPr>
            </w:pPr>
          </w:p>
        </w:tc>
        <w:tc>
          <w:tcPr>
            <w:tcW w:w="1116" w:type="dxa"/>
            <w:vAlign w:val="center"/>
          </w:tcPr>
          <w:p>
            <w:pPr>
              <w:spacing w:line="240" w:lineRule="exact"/>
              <w:jc w:val="center"/>
              <w:rPr>
                <w:rFonts w:cs="宋体" w:asciiTheme="minorEastAsia" w:hAnsiTheme="minorEastAsia" w:eastAsiaTheme="minorEastAsia"/>
                <w:color w:val="000000"/>
                <w:szCs w:val="21"/>
              </w:rPr>
            </w:pPr>
          </w:p>
        </w:tc>
        <w:tc>
          <w:tcPr>
            <w:tcW w:w="968"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color w:val="000000"/>
                <w:szCs w:val="21"/>
              </w:rPr>
            </w:pPr>
          </w:p>
        </w:tc>
        <w:tc>
          <w:tcPr>
            <w:tcW w:w="1066" w:type="dxa"/>
            <w:vAlign w:val="center"/>
          </w:tcPr>
          <w:p>
            <w:pPr>
              <w:spacing w:line="240" w:lineRule="exact"/>
              <w:jc w:val="center"/>
              <w:rPr>
                <w:rFonts w:cs="宋体" w:asciiTheme="minorEastAsia" w:hAnsiTheme="minorEastAsia" w:eastAsiaTheme="minorEastAsia"/>
                <w:szCs w:val="21"/>
              </w:rPr>
            </w:pPr>
          </w:p>
        </w:tc>
      </w:tr>
    </w:tbl>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w:t>
      </w:r>
      <w:r>
        <w:rPr>
          <w:rFonts w:hint="eastAsia"/>
          <w:sz w:val="24"/>
          <w:szCs w:val="24"/>
        </w:rPr>
        <w:t xml:space="preserve"> </w:t>
      </w:r>
      <w:r>
        <w:rPr>
          <w:rFonts w:hint="eastAsia" w:ascii="宋体" w:hAnsi="宋体" w:cs="宋体"/>
          <w:b/>
          <w:color w:val="000000"/>
          <w:kern w:val="0"/>
          <w:sz w:val="24"/>
          <w:szCs w:val="24"/>
        </w:rPr>
        <w:t>投标人必须使用表中指导品牌按计量单位、预计采购数量进行报价，投标报价保留小数点后两位，所有品种必须全部报价，否则为无效标书。</w:t>
      </w:r>
    </w:p>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autoSpaceDE w:val="0"/>
        <w:autoSpaceDN w:val="0"/>
        <w:adjustRightInd w:val="0"/>
        <w:spacing w:line="480" w:lineRule="exact"/>
        <w:ind w:firstLine="480" w:firstLineChars="200"/>
        <w:rPr>
          <w:rFonts w:ascii="宋体" w:hAnsi="Arial" w:cs="宋体"/>
          <w:sz w:val="24"/>
          <w:szCs w:val="24"/>
        </w:rPr>
      </w:pPr>
      <w:r>
        <w:rPr>
          <w:rFonts w:hint="eastAsia" w:ascii="宋体" w:hAnsi="宋体" w:cs="宋体"/>
          <w:color w:val="000000"/>
          <w:kern w:val="0"/>
          <w:sz w:val="24"/>
          <w:szCs w:val="24"/>
        </w:rPr>
        <w:t>3.</w:t>
      </w:r>
      <w:r>
        <w:rPr>
          <w:rFonts w:hint="eastAsia"/>
          <w:sz w:val="24"/>
          <w:szCs w:val="24"/>
        </w:rPr>
        <w:t xml:space="preserve"> </w:t>
      </w:r>
      <w:r>
        <w:rPr>
          <w:rFonts w:hint="eastAsia" w:ascii="宋体" w:hAnsi="宋体" w:cs="宋体"/>
          <w:color w:val="000000"/>
          <w:kern w:val="0"/>
          <w:sz w:val="24"/>
          <w:szCs w:val="24"/>
        </w:rPr>
        <w:t>供货期内投标单价不得调整。</w:t>
      </w:r>
    </w:p>
    <w:p>
      <w:pPr>
        <w:autoSpaceDE w:val="0"/>
        <w:autoSpaceDN w:val="0"/>
        <w:adjustRightInd w:val="0"/>
        <w:spacing w:line="480" w:lineRule="exact"/>
        <w:ind w:firstLine="480" w:firstLineChars="200"/>
        <w:rPr>
          <w:rFonts w:ascii="宋体" w:hAnsi="Arial" w:cs="宋体"/>
          <w:sz w:val="24"/>
          <w:szCs w:val="24"/>
        </w:rPr>
      </w:pPr>
      <w:r>
        <w:rPr>
          <w:rFonts w:hint="eastAsia" w:ascii="宋体" w:hAnsi="Arial" w:cs="宋体"/>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公章、签字，违反任何一项均以废标处理。</w:t>
      </w:r>
    </w:p>
    <w:p>
      <w:pPr>
        <w:autoSpaceDE w:val="0"/>
        <w:autoSpaceDN w:val="0"/>
        <w:adjustRightInd w:val="0"/>
        <w:spacing w:line="480" w:lineRule="exact"/>
        <w:ind w:firstLine="420" w:firstLineChars="200"/>
        <w:rPr>
          <w:rFonts w:ascii="宋体" w:hAnsi="Arial" w:cs="宋体"/>
          <w:szCs w:val="21"/>
        </w:rPr>
      </w:pPr>
    </w:p>
    <w:p>
      <w:pPr>
        <w:autoSpaceDE w:val="0"/>
        <w:autoSpaceDN w:val="0"/>
        <w:adjustRightInd w:val="0"/>
        <w:spacing w:line="48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8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8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480" w:lineRule="exact"/>
        <w:ind w:firstLine="3600" w:firstLineChars="1500"/>
        <w:rPr>
          <w:rFonts w:ascii="宋体" w:hAnsi="宋体" w:cs="黑体"/>
          <w:b/>
          <w:sz w:val="32"/>
          <w:szCs w:val="32"/>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w:t>
      </w:r>
      <w:r>
        <w:rPr>
          <w:rFonts w:hint="eastAsia" w:ascii="宋体" w:hAnsi="宋体" w:cs="黑体"/>
          <w:b/>
          <w:sz w:val="32"/>
          <w:szCs w:val="32"/>
        </w:rPr>
        <w:t>和</w:t>
      </w:r>
      <w:r>
        <w:rPr>
          <w:rFonts w:hint="eastAsia" w:ascii="宋体" w:hAnsi="宋体" w:cs="黑体"/>
          <w:b/>
          <w:sz w:val="32"/>
          <w:szCs w:val="32"/>
          <w:lang w:val="zh-CN"/>
        </w:rPr>
        <w:t>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57</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59</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60</w:t>
    </w:r>
    <w:r>
      <w:fldChar w:fldCharType="end"/>
    </w:r>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0544"/>
    <w:rsid w:val="00001E59"/>
    <w:rsid w:val="00005A9C"/>
    <w:rsid w:val="00006091"/>
    <w:rsid w:val="00007EF1"/>
    <w:rsid w:val="00011A0E"/>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2906"/>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6056"/>
    <w:rsid w:val="000B761E"/>
    <w:rsid w:val="000C18E1"/>
    <w:rsid w:val="000C2C48"/>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533C"/>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4C5"/>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95F"/>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2817"/>
    <w:rsid w:val="002E57C2"/>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51CA"/>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8780D"/>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3EF"/>
    <w:rsid w:val="00513B8F"/>
    <w:rsid w:val="00517436"/>
    <w:rsid w:val="005175BD"/>
    <w:rsid w:val="00523549"/>
    <w:rsid w:val="00525C4B"/>
    <w:rsid w:val="0053054F"/>
    <w:rsid w:val="005320A6"/>
    <w:rsid w:val="00533C25"/>
    <w:rsid w:val="00534351"/>
    <w:rsid w:val="00534667"/>
    <w:rsid w:val="00534EDF"/>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16A3"/>
    <w:rsid w:val="005932DA"/>
    <w:rsid w:val="005958E5"/>
    <w:rsid w:val="00596FA3"/>
    <w:rsid w:val="005A45B1"/>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388"/>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E73C3"/>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2DB"/>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370AC"/>
    <w:rsid w:val="00843B86"/>
    <w:rsid w:val="00844865"/>
    <w:rsid w:val="0084558D"/>
    <w:rsid w:val="00846994"/>
    <w:rsid w:val="008472A0"/>
    <w:rsid w:val="00851700"/>
    <w:rsid w:val="008524EE"/>
    <w:rsid w:val="00852F2D"/>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26FD4"/>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2F34"/>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5D4B"/>
    <w:rsid w:val="00A6156F"/>
    <w:rsid w:val="00A6181C"/>
    <w:rsid w:val="00A61CA8"/>
    <w:rsid w:val="00A65ABF"/>
    <w:rsid w:val="00A66B4A"/>
    <w:rsid w:val="00A66E44"/>
    <w:rsid w:val="00A67EFD"/>
    <w:rsid w:val="00A70F0C"/>
    <w:rsid w:val="00A767C0"/>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51D"/>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2DE8"/>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469"/>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5F"/>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337C"/>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022"/>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455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1B1F"/>
    <w:rsid w:val="00D7424D"/>
    <w:rsid w:val="00D76C19"/>
    <w:rsid w:val="00D76D87"/>
    <w:rsid w:val="00D830D2"/>
    <w:rsid w:val="00D87722"/>
    <w:rsid w:val="00D90DAB"/>
    <w:rsid w:val="00D92F26"/>
    <w:rsid w:val="00D9490B"/>
    <w:rsid w:val="00D94E49"/>
    <w:rsid w:val="00D94E5E"/>
    <w:rsid w:val="00D94EFF"/>
    <w:rsid w:val="00D96938"/>
    <w:rsid w:val="00DA483C"/>
    <w:rsid w:val="00DA7B4F"/>
    <w:rsid w:val="00DB2E64"/>
    <w:rsid w:val="00DB354C"/>
    <w:rsid w:val="00DB4A57"/>
    <w:rsid w:val="00DB4E8B"/>
    <w:rsid w:val="00DB5BA2"/>
    <w:rsid w:val="00DB772C"/>
    <w:rsid w:val="00DC031C"/>
    <w:rsid w:val="00DC642B"/>
    <w:rsid w:val="00DC69A1"/>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7B"/>
    <w:rsid w:val="00E915DC"/>
    <w:rsid w:val="00EA0C93"/>
    <w:rsid w:val="00EA136F"/>
    <w:rsid w:val="00EA1BB8"/>
    <w:rsid w:val="00EA4BE9"/>
    <w:rsid w:val="00EA76AB"/>
    <w:rsid w:val="00EB0A58"/>
    <w:rsid w:val="00EB3A37"/>
    <w:rsid w:val="00EB469B"/>
    <w:rsid w:val="00EB5D75"/>
    <w:rsid w:val="00EB6959"/>
    <w:rsid w:val="00EB6C16"/>
    <w:rsid w:val="00EC079B"/>
    <w:rsid w:val="00EC20CC"/>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177FC"/>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6B"/>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872629"/>
    <w:rsid w:val="034E1600"/>
    <w:rsid w:val="035058C7"/>
    <w:rsid w:val="035E0DBD"/>
    <w:rsid w:val="03F86B1C"/>
    <w:rsid w:val="04784D87"/>
    <w:rsid w:val="060317A8"/>
    <w:rsid w:val="07C35693"/>
    <w:rsid w:val="08BF40AC"/>
    <w:rsid w:val="08CE22D8"/>
    <w:rsid w:val="099A468B"/>
    <w:rsid w:val="0A875C10"/>
    <w:rsid w:val="0AF3628F"/>
    <w:rsid w:val="0B363250"/>
    <w:rsid w:val="0BE36D47"/>
    <w:rsid w:val="0C4C20FB"/>
    <w:rsid w:val="0CD820F1"/>
    <w:rsid w:val="0CE25200"/>
    <w:rsid w:val="0D5E1B07"/>
    <w:rsid w:val="0DE079F5"/>
    <w:rsid w:val="0E4C740B"/>
    <w:rsid w:val="0E545297"/>
    <w:rsid w:val="10516D8F"/>
    <w:rsid w:val="106F56A5"/>
    <w:rsid w:val="119C142F"/>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AD559B1"/>
    <w:rsid w:val="1B1E1106"/>
    <w:rsid w:val="1EF651FF"/>
    <w:rsid w:val="1F262338"/>
    <w:rsid w:val="1F550AAE"/>
    <w:rsid w:val="1FE612D2"/>
    <w:rsid w:val="21010D55"/>
    <w:rsid w:val="21D94E59"/>
    <w:rsid w:val="224156DA"/>
    <w:rsid w:val="230230BC"/>
    <w:rsid w:val="23984280"/>
    <w:rsid w:val="253B0B07"/>
    <w:rsid w:val="257449AC"/>
    <w:rsid w:val="2790205B"/>
    <w:rsid w:val="27B667BA"/>
    <w:rsid w:val="288D3427"/>
    <w:rsid w:val="28C54DCD"/>
    <w:rsid w:val="28CE4005"/>
    <w:rsid w:val="29F9354B"/>
    <w:rsid w:val="2A73489F"/>
    <w:rsid w:val="2C5C33A3"/>
    <w:rsid w:val="2CE455E0"/>
    <w:rsid w:val="2CF73A01"/>
    <w:rsid w:val="2E1524DD"/>
    <w:rsid w:val="2E852228"/>
    <w:rsid w:val="301B0ADB"/>
    <w:rsid w:val="308B2942"/>
    <w:rsid w:val="32285F6F"/>
    <w:rsid w:val="3266677F"/>
    <w:rsid w:val="32ED521C"/>
    <w:rsid w:val="348F6779"/>
    <w:rsid w:val="36061271"/>
    <w:rsid w:val="360D3DFA"/>
    <w:rsid w:val="377939F2"/>
    <w:rsid w:val="38AA5930"/>
    <w:rsid w:val="392626C6"/>
    <w:rsid w:val="3943735F"/>
    <w:rsid w:val="39965260"/>
    <w:rsid w:val="3A4D0C68"/>
    <w:rsid w:val="3B003F2D"/>
    <w:rsid w:val="3EA347C1"/>
    <w:rsid w:val="3EDD5BC4"/>
    <w:rsid w:val="40384169"/>
    <w:rsid w:val="40B04500"/>
    <w:rsid w:val="40CA3013"/>
    <w:rsid w:val="427B5168"/>
    <w:rsid w:val="42870A90"/>
    <w:rsid w:val="42C13A9F"/>
    <w:rsid w:val="43076514"/>
    <w:rsid w:val="444F1F4F"/>
    <w:rsid w:val="447F7AC2"/>
    <w:rsid w:val="44A1236F"/>
    <w:rsid w:val="44F22F67"/>
    <w:rsid w:val="456B4496"/>
    <w:rsid w:val="477912EF"/>
    <w:rsid w:val="493F377B"/>
    <w:rsid w:val="49AA1C33"/>
    <w:rsid w:val="4C9F589F"/>
    <w:rsid w:val="4D1E40A2"/>
    <w:rsid w:val="4DD04FF2"/>
    <w:rsid w:val="4DE01544"/>
    <w:rsid w:val="4E824F2D"/>
    <w:rsid w:val="4F6603AB"/>
    <w:rsid w:val="50B74C36"/>
    <w:rsid w:val="51D27F79"/>
    <w:rsid w:val="52F77B3F"/>
    <w:rsid w:val="54824DEE"/>
    <w:rsid w:val="54F86141"/>
    <w:rsid w:val="54F95756"/>
    <w:rsid w:val="550A5C7C"/>
    <w:rsid w:val="553C7B08"/>
    <w:rsid w:val="562A45DB"/>
    <w:rsid w:val="564F41DF"/>
    <w:rsid w:val="565E6B78"/>
    <w:rsid w:val="56C43C09"/>
    <w:rsid w:val="574A2360"/>
    <w:rsid w:val="57C9597B"/>
    <w:rsid w:val="58307579"/>
    <w:rsid w:val="584D6470"/>
    <w:rsid w:val="5859300C"/>
    <w:rsid w:val="5874204B"/>
    <w:rsid w:val="587578B0"/>
    <w:rsid w:val="5B1769FD"/>
    <w:rsid w:val="5B6538D1"/>
    <w:rsid w:val="5BCD355F"/>
    <w:rsid w:val="5BDE751B"/>
    <w:rsid w:val="5C4B03E3"/>
    <w:rsid w:val="5C4C0928"/>
    <w:rsid w:val="5C9D2F32"/>
    <w:rsid w:val="5D630203"/>
    <w:rsid w:val="5D90675D"/>
    <w:rsid w:val="5DBA3C92"/>
    <w:rsid w:val="5E5771CD"/>
    <w:rsid w:val="5E991CA2"/>
    <w:rsid w:val="5F4B3119"/>
    <w:rsid w:val="5FE86BBA"/>
    <w:rsid w:val="61C0584D"/>
    <w:rsid w:val="64835103"/>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8B0168"/>
    <w:rsid w:val="6FCC4427"/>
    <w:rsid w:val="7064403B"/>
    <w:rsid w:val="70726E22"/>
    <w:rsid w:val="709C1A26"/>
    <w:rsid w:val="70C8281B"/>
    <w:rsid w:val="715F2A54"/>
    <w:rsid w:val="719660C0"/>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B657E87"/>
    <w:rsid w:val="7BE3148B"/>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9F02-0044-425E-A28C-934A9973B1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24043</Words>
  <Characters>28171</Characters>
  <Lines>255</Lines>
  <Paragraphs>71</Paragraphs>
  <TotalTime>105</TotalTime>
  <ScaleCrop>false</ScaleCrop>
  <LinksUpToDate>false</LinksUpToDate>
  <CharactersWithSpaces>31688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2024-07-18T02:06:17Z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