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80</w:t>
      </w:r>
      <w:r>
        <w:rPr>
          <w:rFonts w:hint="eastAsia" w:ascii="宋体" w:hAnsi="宋体" w:cs="宋体"/>
          <w:b/>
          <w:bCs/>
          <w:sz w:val="36"/>
          <w:szCs w:val="36"/>
        </w:rPr>
        <w:t>9</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盐城师范学院2024年秋学期食堂大宗食品原料</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（杂粮）采购项目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盐城师范学院2024年秋学期食堂大宗食品原料（杂粮）采购项目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09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盐城师范学院2024年秋学期食堂大宗食品原料（杂粮）采购项目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85"/>
      <w:bookmarkStart w:id="2" w:name="_Toc28359008"/>
      <w:bookmarkStart w:id="3" w:name="_Toc35393627"/>
      <w:bookmarkStart w:id="4" w:name="_Toc35393796"/>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6480" w:firstLineChars="27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甲乙双方根据盐城师范学院2024年秋学期食堂大宗食品原料（杂粮）采购项目公开招标的结果，签署本合同。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一、货物名称：杂粮</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bookmarkStart w:id="41" w:name="_GoBack"/>
      <w:bookmarkEnd w:id="41"/>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1.乙方应严格遵守《中华人民共和国食品安全法》及其他法律法规的有关规定，确保所供杂粮质量符合国家相关产品质量标准Q/FJMK 0004 S-2019，符合国家各级强制性规范的要求，且配送的货物质量不得低于投标时提供的样品质量标准。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乙方必须对每批次提供其相关单位的检验证明，否则甲方有权拒绝签收。</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3"/>
        <w:gridCol w:w="2104"/>
        <w:gridCol w:w="2104"/>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名   称</w:t>
            </w:r>
          </w:p>
        </w:tc>
        <w:tc>
          <w:tcPr>
            <w:tcW w:w="2104" w:type="dxa"/>
            <w:vAlign w:val="center"/>
          </w:tcPr>
          <w:p>
            <w:pPr>
              <w:jc w:val="center"/>
              <w:rPr>
                <w:rFonts w:ascii="宋体" w:hAnsi="宋体" w:cs="宋体"/>
                <w:sz w:val="24"/>
                <w:szCs w:val="24"/>
              </w:rPr>
            </w:pPr>
            <w:r>
              <w:rPr>
                <w:rFonts w:hint="eastAsia" w:ascii="宋体" w:hAnsi="宋体" w:cs="宋体"/>
                <w:sz w:val="24"/>
                <w:szCs w:val="24"/>
              </w:rPr>
              <w:t>规格与包装</w:t>
            </w:r>
          </w:p>
        </w:tc>
        <w:tc>
          <w:tcPr>
            <w:tcW w:w="2104" w:type="dxa"/>
            <w:vAlign w:val="center"/>
          </w:tcPr>
          <w:p>
            <w:pPr>
              <w:jc w:val="center"/>
              <w:rPr>
                <w:rFonts w:ascii="宋体" w:hAnsi="宋体" w:cs="宋体"/>
                <w:sz w:val="24"/>
                <w:szCs w:val="24"/>
              </w:rPr>
            </w:pPr>
            <w:r>
              <w:rPr>
                <w:rFonts w:hint="eastAsia" w:ascii="宋体" w:hAnsi="宋体" w:cs="宋体"/>
                <w:sz w:val="24"/>
                <w:szCs w:val="24"/>
              </w:rPr>
              <w:t>品牌/产地</w:t>
            </w:r>
          </w:p>
        </w:tc>
        <w:tc>
          <w:tcPr>
            <w:tcW w:w="2191" w:type="dxa"/>
            <w:vAlign w:val="center"/>
          </w:tcPr>
          <w:p>
            <w:pPr>
              <w:jc w:val="center"/>
              <w:rPr>
                <w:rFonts w:ascii="宋体" w:hAnsi="宋体" w:cs="宋体"/>
                <w:sz w:val="24"/>
                <w:szCs w:val="24"/>
              </w:rPr>
            </w:pPr>
            <w:r>
              <w:rPr>
                <w:rFonts w:hint="eastAsia" w:ascii="宋体" w:hAnsi="宋体" w:cs="宋体"/>
                <w:sz w:val="24"/>
                <w:szCs w:val="24"/>
              </w:rPr>
              <w:t>价格（元/斤）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小米</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糯米</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油条粉</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黑米粉</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糯米粉</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玉米粉</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蛋糕粉</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黄豆(东北)</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黄豆(地产)</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黑米</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黑豆</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绿豆</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红豆</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花生米</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红皮花生米</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黑芝麻</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脱皮芝麻（芝麻仁）</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玉米片</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大黄米</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小黄米</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麦片</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米粉</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593" w:type="dxa"/>
            <w:noWrap/>
            <w:tcMar>
              <w:top w:w="15" w:type="dxa"/>
              <w:left w:w="15" w:type="dxa"/>
              <w:bottom w:w="0" w:type="dxa"/>
              <w:right w:w="15" w:type="dxa"/>
            </w:tcMar>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麦仁</w:t>
            </w:r>
          </w:p>
        </w:tc>
        <w:tc>
          <w:tcPr>
            <w:tcW w:w="2104" w:type="dxa"/>
            <w:vAlign w:val="center"/>
          </w:tcPr>
          <w:p>
            <w:pPr>
              <w:jc w:val="center"/>
              <w:rPr>
                <w:rFonts w:ascii="宋体" w:hAnsi="宋体" w:cs="宋体"/>
                <w:sz w:val="24"/>
                <w:szCs w:val="24"/>
              </w:rPr>
            </w:pPr>
          </w:p>
        </w:tc>
        <w:tc>
          <w:tcPr>
            <w:tcW w:w="2104" w:type="dxa"/>
            <w:vAlign w:val="center"/>
          </w:tcPr>
          <w:p>
            <w:pPr>
              <w:jc w:val="center"/>
              <w:rPr>
                <w:rFonts w:ascii="宋体" w:hAnsi="宋体" w:cs="宋体"/>
                <w:sz w:val="24"/>
                <w:szCs w:val="24"/>
              </w:rPr>
            </w:pPr>
          </w:p>
        </w:tc>
        <w:tc>
          <w:tcPr>
            <w:tcW w:w="2191" w:type="dxa"/>
            <w:vAlign w:val="center"/>
          </w:tcPr>
          <w:p>
            <w:pPr>
              <w:jc w:val="center"/>
              <w:rPr>
                <w:rFonts w:ascii="宋体" w:hAnsi="宋体" w:cs="宋体"/>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杂粮</w:t>
      </w:r>
      <w:r>
        <w:rPr>
          <w:rFonts w:hint="eastAsia" w:ascii="宋体" w:hAnsi="宋体" w:cs="宋体"/>
          <w:kern w:val="0"/>
          <w:sz w:val="24"/>
          <w:szCs w:val="24"/>
        </w:rPr>
        <w:t>；</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2、预计采购量：杂粮15吨。“预计采购量”仅作为投标参考量，不作为合同履约依据，如有政策性扶贫任务，采购量将依据要求减少，最终以采购人实际采购量为准。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杂粮：Q/FJMK 0004 S-2019 五谷杂粮。如国家标准发生变化按最新标准执行，执行顺序为国家标准、行业标准、地方标准、企业标准。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pPr>
        <w:spacing w:after="100" w:afterAutospacing="1" w:line="480" w:lineRule="exact"/>
        <w:jc w:val="center"/>
        <w:rPr>
          <w:rFonts w:ascii="宋体" w:hAnsi="宋体" w:cs="宋体"/>
          <w:b/>
          <w:sz w:val="24"/>
          <w:szCs w:val="24"/>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tblPrEx>
          <w:tblCellMar>
            <w:top w:w="0" w:type="dxa"/>
            <w:left w:w="108" w:type="dxa"/>
            <w:bottom w:w="0" w:type="dxa"/>
            <w:right w:w="108" w:type="dxa"/>
          </w:tblCellMar>
        </w:tblPrEx>
        <w:trPr>
          <w:trHeight w:val="159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自2021年6月1日至投标截止日止，投标人具有与本项目内容相匹配的类似项目业绩，每份得2分。</w:t>
            </w:r>
            <w:r>
              <w:rPr>
                <w:rFonts w:hint="eastAsia" w:ascii="宋体" w:hAnsi="宋体"/>
                <w:b/>
                <w:bCs/>
                <w:sz w:val="24"/>
                <w:szCs w:val="24"/>
              </w:rPr>
              <w:t>本项最多得20分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58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投标人须有固定仓储仓库用于杂粮储存，须提供仓储仓库与投标单位之间关系的产权证明复印件，或提供投标单位租赁仓储仓库合同复印件；提供仓储仓库全景及内景照片。照片和复印件加盖投标人公章。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仓储仓库400平方米（含）以上的得10分，399平方米（含）至200平方米的得7分，199平方米（含）至100平方米的得4分，99平方米（含）至25平方米的得2分，小于25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本项最多得10分。</w:t>
            </w:r>
          </w:p>
        </w:tc>
      </w:tr>
      <w:tr>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评分标准与依据（本项最多得10分）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满足以上三项要求得10分，满足以上两项要求得7分，满足一项得3分，其它情况不得分。格式自拟，加盖投标人公章。</w:t>
            </w:r>
          </w:p>
        </w:tc>
      </w:tr>
      <w:tr>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满足以上三项要求得10分，满足以上两项要求得7分，满足一项得3分，其它情况不得分。格式自拟，加盖投标人公章。</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所供货物必须达到国家相应标准。实际供货时，质量要求要高于或等于提供的样品（如需提供样品）。</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16"/>
        <w:gridCol w:w="841"/>
        <w:gridCol w:w="1133"/>
        <w:gridCol w:w="1173"/>
        <w:gridCol w:w="987"/>
        <w:gridCol w:w="154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60" w:type="dxa"/>
            <w:vAlign w:val="center"/>
          </w:tcPr>
          <w:p>
            <w:pPr>
              <w:jc w:val="center"/>
              <w:rPr>
                <w:rFonts w:ascii="Calibri" w:hAnsi="Calibri"/>
                <w:sz w:val="24"/>
                <w:szCs w:val="24"/>
              </w:rPr>
            </w:pPr>
            <w:r>
              <w:rPr>
                <w:rFonts w:hint="eastAsia" w:ascii="Calibri" w:hAnsi="Calibri"/>
                <w:sz w:val="24"/>
                <w:szCs w:val="24"/>
              </w:rPr>
              <w:t>序号</w:t>
            </w:r>
          </w:p>
        </w:tc>
        <w:tc>
          <w:tcPr>
            <w:tcW w:w="1516" w:type="dxa"/>
            <w:vAlign w:val="center"/>
          </w:tcPr>
          <w:p>
            <w:pPr>
              <w:jc w:val="center"/>
              <w:rPr>
                <w:rFonts w:ascii="Calibri" w:hAnsi="Calibri"/>
                <w:sz w:val="24"/>
                <w:szCs w:val="24"/>
              </w:rPr>
            </w:pPr>
            <w:r>
              <w:rPr>
                <w:rFonts w:hint="eastAsia" w:ascii="Calibri" w:hAnsi="Calibri"/>
                <w:sz w:val="24"/>
                <w:szCs w:val="24"/>
              </w:rPr>
              <w:t>名称</w:t>
            </w:r>
          </w:p>
        </w:tc>
        <w:tc>
          <w:tcPr>
            <w:tcW w:w="841" w:type="dxa"/>
            <w:vAlign w:val="center"/>
          </w:tcPr>
          <w:p>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计量</w:t>
            </w:r>
          </w:p>
          <w:p>
            <w:pPr>
              <w:spacing w:line="24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单位</w:t>
            </w:r>
          </w:p>
        </w:tc>
        <w:tc>
          <w:tcPr>
            <w:tcW w:w="1133" w:type="dxa"/>
            <w:vAlign w:val="center"/>
          </w:tcPr>
          <w:p>
            <w:pPr>
              <w:jc w:val="center"/>
              <w:rPr>
                <w:rFonts w:ascii="宋体" w:hAnsi="宋体" w:cs="宋体"/>
                <w:bCs/>
                <w:kern w:val="0"/>
                <w:sz w:val="24"/>
                <w:szCs w:val="24"/>
              </w:rPr>
            </w:pPr>
            <w:r>
              <w:rPr>
                <w:rFonts w:hint="eastAsia" w:ascii="宋体" w:hAnsi="宋体" w:cs="宋体"/>
                <w:bCs/>
                <w:kern w:val="0"/>
                <w:sz w:val="24"/>
                <w:szCs w:val="24"/>
              </w:rPr>
              <w:t>预计采购数量</w:t>
            </w:r>
          </w:p>
        </w:tc>
        <w:tc>
          <w:tcPr>
            <w:tcW w:w="1173" w:type="dxa"/>
            <w:vAlign w:val="center"/>
          </w:tcPr>
          <w:p>
            <w:pPr>
              <w:jc w:val="center"/>
              <w:rPr>
                <w:rFonts w:ascii="宋体" w:hAnsi="宋体" w:cs="宋体"/>
                <w:bCs/>
                <w:kern w:val="0"/>
                <w:sz w:val="24"/>
                <w:szCs w:val="24"/>
              </w:rPr>
            </w:pPr>
            <w:r>
              <w:rPr>
                <w:rFonts w:hint="eastAsia" w:ascii="宋体" w:hAnsi="宋体" w:cs="宋体"/>
                <w:bCs/>
                <w:kern w:val="0"/>
                <w:sz w:val="24"/>
                <w:szCs w:val="24"/>
              </w:rPr>
              <w:t>最高限价（元）</w:t>
            </w:r>
          </w:p>
        </w:tc>
        <w:tc>
          <w:tcPr>
            <w:tcW w:w="987" w:type="dxa"/>
            <w:vAlign w:val="center"/>
          </w:tcPr>
          <w:p>
            <w:pPr>
              <w:jc w:val="center"/>
              <w:rPr>
                <w:rFonts w:ascii="Calibri" w:hAnsi="Calibri"/>
                <w:sz w:val="24"/>
                <w:szCs w:val="24"/>
              </w:rPr>
            </w:pPr>
            <w:r>
              <w:rPr>
                <w:rFonts w:hint="eastAsia" w:ascii="宋体" w:hAnsi="宋体" w:cs="宋体"/>
                <w:bCs/>
                <w:kern w:val="0"/>
                <w:sz w:val="24"/>
                <w:szCs w:val="24"/>
              </w:rPr>
              <w:t>品牌</w:t>
            </w:r>
          </w:p>
        </w:tc>
        <w:tc>
          <w:tcPr>
            <w:tcW w:w="1547"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投标单价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c>
          <w:tcPr>
            <w:tcW w:w="1548"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投标合价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小米</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3000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2.28</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糯米</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8000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3.50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油条粉</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700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2.35</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黑米粉</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5.80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糯米粉</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1000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3.70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6</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玉米粉</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500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2.70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7</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蛋糕粉</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200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2.40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8</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黄豆(东北)</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4000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3.50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9</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黄豆(地产)</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1500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4.50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10</w:t>
            </w:r>
          </w:p>
        </w:tc>
        <w:tc>
          <w:tcPr>
            <w:tcW w:w="1516"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黑米</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1000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3.30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11</w:t>
            </w:r>
          </w:p>
        </w:tc>
        <w:tc>
          <w:tcPr>
            <w:tcW w:w="1516"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黑豆</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5.80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12</w:t>
            </w:r>
          </w:p>
        </w:tc>
        <w:tc>
          <w:tcPr>
            <w:tcW w:w="1516"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绿豆</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500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5.40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13</w:t>
            </w:r>
          </w:p>
        </w:tc>
        <w:tc>
          <w:tcPr>
            <w:tcW w:w="1516"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红豆</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800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8.50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14</w:t>
            </w:r>
          </w:p>
        </w:tc>
        <w:tc>
          <w:tcPr>
            <w:tcW w:w="1516"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花生米</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900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8.00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15</w:t>
            </w:r>
          </w:p>
        </w:tc>
        <w:tc>
          <w:tcPr>
            <w:tcW w:w="1516"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红皮花生米</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1200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10.50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16</w:t>
            </w:r>
          </w:p>
        </w:tc>
        <w:tc>
          <w:tcPr>
            <w:tcW w:w="1516"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黑芝麻</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300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12.00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17</w:t>
            </w:r>
          </w:p>
        </w:tc>
        <w:tc>
          <w:tcPr>
            <w:tcW w:w="1516"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脱皮芝麻（芝麻仁）</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600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11.50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18</w:t>
            </w:r>
          </w:p>
        </w:tc>
        <w:tc>
          <w:tcPr>
            <w:tcW w:w="1516"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玉米片</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2.80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19</w:t>
            </w:r>
          </w:p>
        </w:tc>
        <w:tc>
          <w:tcPr>
            <w:tcW w:w="1516"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大黄米</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150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5.30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20</w:t>
            </w:r>
          </w:p>
        </w:tc>
        <w:tc>
          <w:tcPr>
            <w:tcW w:w="1516"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小黄米</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900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5.30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21</w:t>
            </w:r>
          </w:p>
        </w:tc>
        <w:tc>
          <w:tcPr>
            <w:tcW w:w="1516"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麦片</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100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3.00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22</w:t>
            </w:r>
          </w:p>
        </w:tc>
        <w:tc>
          <w:tcPr>
            <w:tcW w:w="1516"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米粉</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200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3.00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0"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23</w:t>
            </w:r>
          </w:p>
        </w:tc>
        <w:tc>
          <w:tcPr>
            <w:tcW w:w="1516"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麦仁</w:t>
            </w:r>
          </w:p>
        </w:tc>
        <w:tc>
          <w:tcPr>
            <w:tcW w:w="841"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3" w:type="dxa"/>
            <w:vAlign w:val="center"/>
          </w:tcPr>
          <w:p>
            <w:pPr>
              <w:jc w:val="center"/>
              <w:rPr>
                <w:rFonts w:ascii="宋体" w:hAnsi="宋体" w:cs="宋体"/>
                <w:kern w:val="0"/>
                <w:sz w:val="24"/>
                <w:szCs w:val="24"/>
              </w:rPr>
            </w:pPr>
            <w:r>
              <w:rPr>
                <w:rFonts w:hint="eastAsia" w:ascii="宋体" w:hAnsi="宋体" w:cs="宋体"/>
                <w:kern w:val="0"/>
                <w:sz w:val="24"/>
                <w:szCs w:val="24"/>
              </w:rPr>
              <w:t>200</w:t>
            </w:r>
          </w:p>
        </w:tc>
        <w:tc>
          <w:tcPr>
            <w:tcW w:w="1173"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3.00</w:t>
            </w: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76" w:type="dxa"/>
            <w:gridSpan w:val="2"/>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合计</w:t>
            </w:r>
          </w:p>
        </w:tc>
        <w:tc>
          <w:tcPr>
            <w:tcW w:w="841" w:type="dxa"/>
            <w:vAlign w:val="center"/>
          </w:tcPr>
          <w:p>
            <w:pPr>
              <w:jc w:val="center"/>
              <w:rPr>
                <w:rFonts w:asciiTheme="minorEastAsia" w:hAnsiTheme="minorEastAsia" w:eastAsiaTheme="minorEastAsia"/>
                <w:sz w:val="24"/>
                <w:szCs w:val="24"/>
              </w:rPr>
            </w:pPr>
          </w:p>
        </w:tc>
        <w:tc>
          <w:tcPr>
            <w:tcW w:w="1133" w:type="dxa"/>
            <w:vAlign w:val="center"/>
          </w:tcPr>
          <w:p>
            <w:pPr>
              <w:jc w:val="center"/>
              <w:rPr>
                <w:rFonts w:asciiTheme="minorEastAsia" w:hAnsiTheme="minorEastAsia" w:eastAsiaTheme="minorEastAsia"/>
                <w:sz w:val="24"/>
                <w:szCs w:val="24"/>
              </w:rPr>
            </w:pPr>
          </w:p>
        </w:tc>
        <w:tc>
          <w:tcPr>
            <w:tcW w:w="1173" w:type="dxa"/>
            <w:vAlign w:val="center"/>
          </w:tcPr>
          <w:p>
            <w:pPr>
              <w:spacing w:line="280" w:lineRule="exact"/>
              <w:jc w:val="center"/>
              <w:rPr>
                <w:rFonts w:cs="宋体" w:asciiTheme="minorEastAsia" w:hAnsiTheme="minorEastAsia" w:eastAsiaTheme="minorEastAsia"/>
                <w:color w:val="000000"/>
                <w:sz w:val="24"/>
                <w:szCs w:val="24"/>
              </w:rPr>
            </w:pPr>
          </w:p>
        </w:tc>
        <w:tc>
          <w:tcPr>
            <w:tcW w:w="98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7"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548"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bl>
    <w:p>
      <w:pPr>
        <w:autoSpaceDE w:val="0"/>
        <w:autoSpaceDN w:val="0"/>
        <w:adjustRightInd w:val="0"/>
        <w:spacing w:line="40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pPr>
        <w:autoSpaceDE w:val="0"/>
        <w:autoSpaceDN w:val="0"/>
        <w:adjustRightIn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pPr>
        <w:autoSpaceDE w:val="0"/>
        <w:autoSpaceDN w:val="0"/>
        <w:adjustRightInd w:val="0"/>
        <w:spacing w:line="40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autoSpaceDE w:val="0"/>
        <w:autoSpaceDN w:val="0"/>
        <w:adjustRightInd w:val="0"/>
        <w:spacing w:line="400" w:lineRule="exact"/>
        <w:ind w:firstLine="420" w:firstLineChars="200"/>
        <w:rPr>
          <w:rFonts w:ascii="宋体" w:hAnsi="Arial" w:cs="宋体"/>
          <w:szCs w:val="21"/>
        </w:rPr>
      </w:pPr>
    </w:p>
    <w:p>
      <w:pPr>
        <w:autoSpaceDE w:val="0"/>
        <w:autoSpaceDN w:val="0"/>
        <w:adjustRightInd w:val="0"/>
        <w:spacing w:line="400" w:lineRule="exact"/>
        <w:ind w:firstLine="420" w:firstLineChars="200"/>
        <w:rPr>
          <w:rFonts w:ascii="宋体" w:hAnsi="Arial" w:cs="宋体"/>
          <w:szCs w:val="21"/>
        </w:rPr>
      </w:pPr>
    </w:p>
    <w:p>
      <w:pPr>
        <w:autoSpaceDE w:val="0"/>
        <w:autoSpaceDN w:val="0"/>
        <w:adjustRightInd w:val="0"/>
        <w:spacing w:line="4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0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0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4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41</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42</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5B5"/>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65CD"/>
    <w:rsid w:val="001677C7"/>
    <w:rsid w:val="00171936"/>
    <w:rsid w:val="00172794"/>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099F"/>
    <w:rsid w:val="003D1076"/>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663D6"/>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07D27"/>
    <w:rsid w:val="00B138B7"/>
    <w:rsid w:val="00B13981"/>
    <w:rsid w:val="00B205A1"/>
    <w:rsid w:val="00B232F6"/>
    <w:rsid w:val="00B24730"/>
    <w:rsid w:val="00B25949"/>
    <w:rsid w:val="00B267F8"/>
    <w:rsid w:val="00B2753E"/>
    <w:rsid w:val="00B30A2C"/>
    <w:rsid w:val="00B33D98"/>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E6A0E"/>
    <w:rsid w:val="00BF0B8B"/>
    <w:rsid w:val="00BF2144"/>
    <w:rsid w:val="00BF4DF2"/>
    <w:rsid w:val="00BF73C2"/>
    <w:rsid w:val="00BF77C9"/>
    <w:rsid w:val="00C00640"/>
    <w:rsid w:val="00C02038"/>
    <w:rsid w:val="00C036E0"/>
    <w:rsid w:val="00C03DD3"/>
    <w:rsid w:val="00C05FB9"/>
    <w:rsid w:val="00C1345D"/>
    <w:rsid w:val="00C1593A"/>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3216"/>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4A49"/>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16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5E1B07"/>
    <w:rsid w:val="0DE079F5"/>
    <w:rsid w:val="0E545297"/>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5B4C69"/>
    <w:rsid w:val="1CB776FC"/>
    <w:rsid w:val="1EEC2B86"/>
    <w:rsid w:val="1EF651FF"/>
    <w:rsid w:val="1F262338"/>
    <w:rsid w:val="1F550AAE"/>
    <w:rsid w:val="21010D55"/>
    <w:rsid w:val="21745E48"/>
    <w:rsid w:val="21D94E59"/>
    <w:rsid w:val="224156DA"/>
    <w:rsid w:val="230230BC"/>
    <w:rsid w:val="23984280"/>
    <w:rsid w:val="253B0B07"/>
    <w:rsid w:val="257449AC"/>
    <w:rsid w:val="2790205B"/>
    <w:rsid w:val="27E86D24"/>
    <w:rsid w:val="288D3427"/>
    <w:rsid w:val="28C54DCD"/>
    <w:rsid w:val="28CE4005"/>
    <w:rsid w:val="29170DC4"/>
    <w:rsid w:val="29F9354B"/>
    <w:rsid w:val="2A73489F"/>
    <w:rsid w:val="2C5C33A3"/>
    <w:rsid w:val="2CE455E0"/>
    <w:rsid w:val="2CF73A01"/>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4E2C-86CB-46F8-AA00-075DCE14F2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16449</Words>
  <Characters>17592</Characters>
  <Lines>155</Lines>
  <Paragraphs>43</Paragraphs>
  <TotalTime>130</TotalTime>
  <ScaleCrop>false</ScaleCrop>
  <LinksUpToDate>false</LinksUpToDate>
  <CharactersWithSpaces>20334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2024-07-18T02:48:32Z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