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07</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（豆制品）采购项目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盐城师范学院2024年秋学期食堂大宗食品原料（豆制品）采购项目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07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盐城师范学院2024年秋学期食堂大宗食品原料（豆制品）采购项目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日上午8：30-9：00；盐城师范学院新长校区后勤综合楼三楼招标会议室。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08"/>
      <w:bookmarkStart w:id="3" w:name="_Toc28359085"/>
      <w:bookmarkStart w:id="4" w:name="_Toc35393627"/>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甲乙双方根据盐城师范学院2024年秋学期食堂大宗食品原料（豆制品）采购项目公开招标的结果，签署本合同。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一、货物名称：豆制品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1.乙方应严格遵守《中华人民共和国食品安全法》及其他法律法规的有关规定，确保所供豆制品质量符合国家质量标准GB 2712-2014，符合国家各级强制性规范的要求，且配送的货物质量不得低于投标时提供的样品质量标准。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pPr>
              <w:jc w:val="center"/>
              <w:rPr>
                <w:rFonts w:ascii="宋体" w:hAnsi="宋体"/>
                <w:sz w:val="24"/>
                <w:szCs w:val="24"/>
              </w:rPr>
            </w:pPr>
            <w:r>
              <w:rPr>
                <w:rFonts w:hint="eastAsia" w:ascii="宋体" w:hAnsi="宋体"/>
                <w:sz w:val="24"/>
                <w:szCs w:val="24"/>
              </w:rPr>
              <w:t>外观新鲜，表面不发粘，不发暗、红或霉菌，硬度适中，有弹性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cs="宋体"/>
                <w:sz w:val="24"/>
                <w:szCs w:val="24"/>
              </w:rPr>
              <w:t>组织状态</w:t>
            </w:r>
          </w:p>
        </w:tc>
        <w:tc>
          <w:tcPr>
            <w:tcW w:w="7371" w:type="dxa"/>
            <w:vAlign w:val="center"/>
          </w:tcPr>
          <w:p>
            <w:pPr>
              <w:jc w:val="center"/>
              <w:rPr>
                <w:rFonts w:ascii="宋体" w:hAnsi="宋体"/>
                <w:sz w:val="24"/>
                <w:szCs w:val="24"/>
              </w:rPr>
            </w:pPr>
            <w:r>
              <w:rPr>
                <w:rFonts w:hint="eastAsia" w:ascii="宋体" w:hAnsi="宋体"/>
                <w:sz w:val="24"/>
                <w:szCs w:val="24"/>
              </w:rPr>
              <w:t>内部无蜂窝状小孔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有大豆清香味，无酸馊等异味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pPr>
              <w:jc w:val="center"/>
              <w:rPr>
                <w:rFonts w:ascii="宋体" w:hAnsi="宋体"/>
                <w:sz w:val="24"/>
                <w:szCs w:val="24"/>
              </w:rPr>
            </w:pPr>
            <w:r>
              <w:rPr>
                <w:rFonts w:hint="eastAsia" w:ascii="宋体" w:hAnsi="宋体"/>
                <w:sz w:val="24"/>
                <w:szCs w:val="24"/>
              </w:rPr>
              <w:t>杂质</w:t>
            </w:r>
          </w:p>
        </w:tc>
        <w:tc>
          <w:tcPr>
            <w:tcW w:w="7371" w:type="dxa"/>
            <w:vAlign w:val="center"/>
          </w:tcPr>
          <w:p>
            <w:pPr>
              <w:jc w:val="center"/>
              <w:rPr>
                <w:rFonts w:ascii="宋体" w:hAnsi="宋体"/>
                <w:sz w:val="24"/>
                <w:szCs w:val="24"/>
              </w:rPr>
            </w:pPr>
            <w:r>
              <w:rPr>
                <w:rFonts w:hint="eastAsia" w:ascii="宋体" w:hAnsi="宋体"/>
                <w:sz w:val="24"/>
                <w:szCs w:val="24"/>
              </w:rPr>
              <w:t>无杂质</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运输工具必须清洁干燥，严禁与有毒有害、有异味和其它易污染物混装混运。</w:t>
      </w:r>
    </w:p>
    <w:p>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乙方每批次提供的货物，必须经甲方验收人员验收合格并签单后才能视为有效，否则均视为无效供货。乙方每周需提供合格检验证明（无防腐剂和“吊白块”），否则甲方有权拒绝签收。</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4" w:type="dxa"/>
        <w:jc w:val="center"/>
        <w:tblLayout w:type="fixed"/>
        <w:tblCellMar>
          <w:top w:w="0" w:type="dxa"/>
          <w:left w:w="0" w:type="dxa"/>
          <w:bottom w:w="0" w:type="dxa"/>
          <w:right w:w="0" w:type="dxa"/>
        </w:tblCellMar>
      </w:tblPr>
      <w:tblGrid>
        <w:gridCol w:w="1796"/>
        <w:gridCol w:w="1889"/>
        <w:gridCol w:w="1966"/>
        <w:gridCol w:w="1966"/>
        <w:gridCol w:w="1827"/>
      </w:tblGrid>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品牌/产地</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规格与包装</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价格（元/斤）</w:t>
            </w: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豆   腐</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老豆腐</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卜页（普长干）</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茶   干</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香   干</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油   果</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卜页结</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大素鸡</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小素鸡</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kern w:val="0"/>
                <w:sz w:val="24"/>
                <w:szCs w:val="24"/>
              </w:rPr>
              <w:t>油  扁</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内酯豆腐</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兰花干</w:t>
            </w:r>
          </w:p>
        </w:tc>
        <w:tc>
          <w:tcPr>
            <w:tcW w:w="188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1、采购内容：豆制品；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2、预计采购量：豆制品40吨。“预计采购量”仅作为投标参考量，不作为合同履约依据，如有政策性扶贫任务，采购量将依据要求减少，最终以采购人实际采购量为准。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豆制品类:豆制品食品安全国家标准GB 2712-2014。如国家标准发生变化按最新标准执行，执行顺序为国家标准、行业标准、地方标准、企业标准。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pPr>
              <w:jc w:val="center"/>
              <w:rPr>
                <w:rFonts w:ascii="宋体" w:hAnsi="宋体"/>
                <w:sz w:val="24"/>
                <w:szCs w:val="24"/>
              </w:rPr>
            </w:pPr>
            <w:r>
              <w:rPr>
                <w:rFonts w:hint="eastAsia" w:ascii="宋体" w:hAnsi="宋体"/>
                <w:sz w:val="24"/>
                <w:szCs w:val="24"/>
              </w:rPr>
              <w:t>外观新鲜，表面不发粘，不发暗、红或霉菌，硬度适中，有弹性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cs="宋体"/>
                <w:sz w:val="24"/>
                <w:szCs w:val="24"/>
              </w:rPr>
              <w:t>组织状态</w:t>
            </w:r>
          </w:p>
        </w:tc>
        <w:tc>
          <w:tcPr>
            <w:tcW w:w="7371" w:type="dxa"/>
            <w:vAlign w:val="center"/>
          </w:tcPr>
          <w:p>
            <w:pPr>
              <w:jc w:val="center"/>
              <w:rPr>
                <w:rFonts w:ascii="宋体" w:hAnsi="宋体"/>
                <w:sz w:val="24"/>
                <w:szCs w:val="24"/>
              </w:rPr>
            </w:pPr>
            <w:r>
              <w:rPr>
                <w:rFonts w:hint="eastAsia" w:ascii="宋体" w:hAnsi="宋体"/>
                <w:sz w:val="24"/>
                <w:szCs w:val="24"/>
              </w:rPr>
              <w:t>内部无蜂窝状小孔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有大豆清香味，无酸馊等异味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杂质</w:t>
            </w:r>
          </w:p>
        </w:tc>
        <w:tc>
          <w:tcPr>
            <w:tcW w:w="7371" w:type="dxa"/>
            <w:vAlign w:val="center"/>
          </w:tcPr>
          <w:p>
            <w:pPr>
              <w:jc w:val="center"/>
              <w:rPr>
                <w:rFonts w:ascii="宋体" w:hAnsi="宋体"/>
                <w:sz w:val="24"/>
                <w:szCs w:val="24"/>
              </w:rPr>
            </w:pPr>
            <w:r>
              <w:rPr>
                <w:rFonts w:hint="eastAsia" w:ascii="宋体" w:hAnsi="宋体"/>
                <w:sz w:val="24"/>
                <w:szCs w:val="24"/>
              </w:rPr>
              <w:t>无杂质</w:t>
            </w:r>
          </w:p>
        </w:tc>
      </w:tr>
    </w:tbl>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各2斤）、感官等应符合招标文件的要求，在规定时间密封送达后勤楼三楼招标会议室，清晰注明投标人名称，中标供应商样品由招标人留存作为验收的依据，未中标的供应商样品开标结束后就可自行取回。</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096"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7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cs="宋体"/>
                <w:kern w:val="0"/>
                <w:sz w:val="24"/>
                <w:szCs w:val="24"/>
              </w:rPr>
            </w:pPr>
            <w:r>
              <w:rPr>
                <w:rFonts w:hint="eastAsia" w:ascii="宋体" w:hAnsi="宋体" w:cs="宋体"/>
                <w:kern w:val="0"/>
                <w:sz w:val="24"/>
                <w:szCs w:val="24"/>
              </w:rPr>
              <w:t>二、根据投标人提供其生产规模、经营场所面积、生产设备条件、生产加工能力及日出产量（配送量）。</w:t>
            </w:r>
          </w:p>
          <w:p>
            <w:pPr>
              <w:ind w:firstLine="480" w:firstLineChars="200"/>
              <w:rPr>
                <w:rFonts w:ascii="宋体" w:hAnsi="宋体" w:cs="楷体"/>
                <w:sz w:val="24"/>
                <w:szCs w:val="24"/>
              </w:rPr>
            </w:pPr>
            <w:r>
              <w:rPr>
                <w:rFonts w:hint="eastAsia" w:ascii="宋体" w:hAnsi="宋体" w:cs="Arial"/>
                <w:sz w:val="24"/>
                <w:szCs w:val="24"/>
              </w:rPr>
              <w:t>内容详细完整，</w:t>
            </w:r>
            <w:r>
              <w:rPr>
                <w:rFonts w:hint="eastAsia" w:ascii="宋体" w:hAnsi="宋体" w:cs="宋体"/>
                <w:kern w:val="0"/>
                <w:sz w:val="24"/>
                <w:szCs w:val="24"/>
              </w:rPr>
              <w:t>生产规模、经营场所面积、</w:t>
            </w:r>
            <w:r>
              <w:rPr>
                <w:rFonts w:hint="eastAsia" w:ascii="宋体" w:hAnsi="宋体" w:cs="Arial"/>
                <w:sz w:val="24"/>
                <w:szCs w:val="24"/>
              </w:rPr>
              <w:t>设备条件完全</w:t>
            </w:r>
            <w:r>
              <w:rPr>
                <w:rFonts w:hint="eastAsia" w:ascii="宋体" w:hAnsi="宋体"/>
                <w:sz w:val="24"/>
                <w:szCs w:val="24"/>
              </w:rPr>
              <w:t>满足食品加工生产安全、招标人经营需求等项目要求，</w:t>
            </w:r>
            <w:r>
              <w:rPr>
                <w:rFonts w:hint="eastAsia" w:ascii="宋体" w:hAnsi="宋体" w:cs="Arial"/>
                <w:sz w:val="24"/>
                <w:szCs w:val="24"/>
              </w:rPr>
              <w:t>得10分；内容详细完整，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设备条件且能</w:t>
            </w:r>
            <w:r>
              <w:rPr>
                <w:rFonts w:hint="eastAsia" w:ascii="宋体" w:hAnsi="宋体"/>
                <w:sz w:val="24"/>
                <w:szCs w:val="24"/>
              </w:rPr>
              <w:t>满足食品加工生产安全、招标人经营需求等项目要求，</w:t>
            </w:r>
            <w:r>
              <w:rPr>
                <w:rFonts w:hint="eastAsia" w:ascii="宋体" w:hAnsi="宋体" w:cs="Arial"/>
                <w:sz w:val="24"/>
                <w:szCs w:val="24"/>
              </w:rPr>
              <w:t>得7分；内容详细完整，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设备条件且基本能</w:t>
            </w:r>
            <w:r>
              <w:rPr>
                <w:rFonts w:hint="eastAsia" w:ascii="宋体" w:hAnsi="宋体"/>
                <w:sz w:val="24"/>
                <w:szCs w:val="24"/>
              </w:rPr>
              <w:t>满足食品加工生产安全、招标人经营需求等项目要求，</w:t>
            </w:r>
            <w:r>
              <w:rPr>
                <w:rFonts w:hint="eastAsia" w:ascii="宋体" w:hAnsi="宋体" w:cs="Arial"/>
                <w:sz w:val="24"/>
                <w:szCs w:val="24"/>
              </w:rPr>
              <w:t>得4分</w:t>
            </w:r>
            <w:r>
              <w:rPr>
                <w:rFonts w:ascii="宋体" w:hAnsi="宋体" w:cs="Arial"/>
                <w:sz w:val="24"/>
                <w:szCs w:val="24"/>
              </w:rPr>
              <w:t>；</w:t>
            </w:r>
            <w:r>
              <w:rPr>
                <w:rFonts w:hint="eastAsia" w:ascii="宋体" w:hAnsi="宋体" w:cs="Arial"/>
                <w:sz w:val="24"/>
                <w:szCs w:val="24"/>
              </w:rPr>
              <w:t>不能满足项目实际需求，或未提供材料的不得分。</w:t>
            </w:r>
            <w:r>
              <w:rPr>
                <w:rFonts w:hint="eastAsia" w:ascii="宋体" w:hAnsi="宋体" w:cs="宋体"/>
                <w:b/>
                <w:bCs/>
                <w:color w:val="000000"/>
                <w:kern w:val="0"/>
                <w:sz w:val="24"/>
                <w:szCs w:val="24"/>
                <w:shd w:val="clear" w:color="auto" w:fill="FFFFFF"/>
              </w:rPr>
              <w:t>本项最多得10分。</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2.评分标准与依据（本项最多得6分）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根据投标人提供的样品的色泽、气味、质感、软硬度等进行综合评价。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2.评分标准与依据（本项最多得15分）</w:t>
            </w:r>
          </w:p>
          <w:p>
            <w:pPr>
              <w:ind w:firstLine="480" w:firstLineChars="200"/>
              <w:rPr>
                <w:rFonts w:ascii="宋体" w:hAnsi="宋体"/>
                <w:sz w:val="24"/>
                <w:szCs w:val="24"/>
              </w:rPr>
            </w:pPr>
            <w:r>
              <w:rPr>
                <w:rFonts w:hint="eastAsia" w:ascii="宋体" w:hAnsi="宋体"/>
                <w:sz w:val="24"/>
                <w:szCs w:val="24"/>
              </w:rPr>
              <w:t>（1）颜色光泽：色泽洁白或微黄（3分），色泽较暗淡（2分），色泽暗淡（1分）；</w:t>
            </w:r>
          </w:p>
          <w:p>
            <w:pPr>
              <w:ind w:firstLine="480" w:firstLineChars="200"/>
              <w:rPr>
                <w:rFonts w:ascii="宋体" w:hAnsi="宋体"/>
                <w:sz w:val="24"/>
                <w:szCs w:val="24"/>
              </w:rPr>
            </w:pPr>
            <w:r>
              <w:rPr>
                <w:rFonts w:hint="eastAsia" w:ascii="宋体" w:hAnsi="宋体"/>
                <w:sz w:val="24"/>
                <w:szCs w:val="24"/>
              </w:rPr>
              <w:t>（2）气味：香味浓郁（4分），有一定香味（3分），有异味（0分）；</w:t>
            </w:r>
          </w:p>
          <w:p>
            <w:pPr>
              <w:ind w:firstLine="480" w:firstLineChars="200"/>
              <w:rPr>
                <w:rFonts w:ascii="宋体" w:hAnsi="宋体"/>
                <w:sz w:val="24"/>
                <w:szCs w:val="24"/>
              </w:rPr>
            </w:pPr>
            <w:r>
              <w:rPr>
                <w:rFonts w:hint="eastAsia" w:ascii="宋体" w:hAnsi="宋体"/>
                <w:sz w:val="24"/>
                <w:szCs w:val="24"/>
              </w:rPr>
              <w:t>（3）质感：质感细嫩，有弹性（4分），质感较为细嫩，有一定弹性（3分），质感粗糙，无弹性（1分）；</w:t>
            </w:r>
          </w:p>
          <w:p>
            <w:pPr>
              <w:ind w:firstLine="480" w:firstLineChars="200"/>
              <w:rPr>
                <w:rFonts w:ascii="宋体" w:hAnsi="宋体"/>
                <w:b/>
                <w:sz w:val="24"/>
                <w:szCs w:val="24"/>
              </w:rPr>
            </w:pPr>
            <w:r>
              <w:rPr>
                <w:rFonts w:hint="eastAsia" w:ascii="宋体" w:hAnsi="宋体"/>
                <w:sz w:val="24"/>
                <w:szCs w:val="24"/>
              </w:rPr>
              <w:t>（4）软硬度：软硬适中（4分），软硬较为适中（3分），软硬度差（1分）</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每个品种各2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bookmarkStart w:id="41" w:name="_GoBack"/>
      <w:bookmarkEnd w:id="41"/>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707"/>
        <w:gridCol w:w="800"/>
        <w:gridCol w:w="1138"/>
        <w:gridCol w:w="1280"/>
        <w:gridCol w:w="995"/>
        <w:gridCol w:w="144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800" w:type="dxa"/>
            <w:vAlign w:val="center"/>
          </w:tcPr>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计量</w:t>
            </w:r>
          </w:p>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单位</w:t>
            </w:r>
          </w:p>
        </w:tc>
        <w:tc>
          <w:tcPr>
            <w:tcW w:w="1138"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预计采购数量</w:t>
            </w:r>
          </w:p>
        </w:tc>
        <w:tc>
          <w:tcPr>
            <w:tcW w:w="1280"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最高限价（元）</w:t>
            </w:r>
          </w:p>
        </w:tc>
        <w:tc>
          <w:tcPr>
            <w:tcW w:w="995"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品牌</w:t>
            </w:r>
          </w:p>
        </w:tc>
        <w:tc>
          <w:tcPr>
            <w:tcW w:w="1449"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450"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豆   腐</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30000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1.40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老豆腐</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卜页（普长干）</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6.00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茶   干</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香   干</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果</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7</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卜页结</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6.20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大素鸡</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1200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小素鸡</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10</w:t>
            </w:r>
          </w:p>
        </w:tc>
        <w:tc>
          <w:tcPr>
            <w:tcW w:w="170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扁</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4500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w:t>
            </w:r>
          </w:p>
        </w:tc>
        <w:tc>
          <w:tcPr>
            <w:tcW w:w="1707"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内酯豆腐</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350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7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12</w:t>
            </w:r>
          </w:p>
        </w:tc>
        <w:tc>
          <w:tcPr>
            <w:tcW w:w="1707"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兰花干</w:t>
            </w:r>
          </w:p>
        </w:tc>
        <w:tc>
          <w:tcPr>
            <w:tcW w:w="800"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1500</w:t>
            </w:r>
          </w:p>
        </w:tc>
        <w:tc>
          <w:tcPr>
            <w:tcW w:w="1280"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6.50</w:t>
            </w: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73" w:type="dxa"/>
            <w:gridSpan w:val="2"/>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800" w:type="dxa"/>
            <w:vAlign w:val="center"/>
          </w:tcPr>
          <w:p>
            <w:pPr>
              <w:jc w:val="center"/>
              <w:rPr>
                <w:rFonts w:asciiTheme="minorEastAsia" w:hAnsiTheme="minorEastAsia" w:eastAsiaTheme="minorEastAsia"/>
                <w:sz w:val="24"/>
                <w:szCs w:val="24"/>
              </w:rPr>
            </w:pPr>
          </w:p>
        </w:tc>
        <w:tc>
          <w:tcPr>
            <w:tcW w:w="1138" w:type="dxa"/>
            <w:vAlign w:val="center"/>
          </w:tcPr>
          <w:p>
            <w:pPr>
              <w:jc w:val="center"/>
              <w:rPr>
                <w:rFonts w:asciiTheme="minorEastAsia" w:hAnsiTheme="minorEastAsia" w:eastAsiaTheme="minorEastAsia"/>
                <w:sz w:val="24"/>
                <w:szCs w:val="24"/>
              </w:rPr>
            </w:pPr>
          </w:p>
        </w:tc>
        <w:tc>
          <w:tcPr>
            <w:tcW w:w="1280" w:type="dxa"/>
            <w:vAlign w:val="center"/>
          </w:tcPr>
          <w:p>
            <w:pPr>
              <w:spacing w:line="280" w:lineRule="exact"/>
              <w:jc w:val="center"/>
              <w:rPr>
                <w:rFonts w:cs="宋体" w:asciiTheme="minorEastAsia" w:hAnsiTheme="minorEastAsia" w:eastAsiaTheme="minorEastAsia"/>
                <w:color w:val="000000"/>
                <w:sz w:val="24"/>
                <w:szCs w:val="24"/>
              </w:rPr>
            </w:pPr>
          </w:p>
        </w:tc>
        <w:tc>
          <w:tcPr>
            <w:tcW w:w="995"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42</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1AB"/>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4B73"/>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1774"/>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0892"/>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015B"/>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17825"/>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53AA"/>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2EC"/>
    <w:rsid w:val="00BB7E9C"/>
    <w:rsid w:val="00BC5151"/>
    <w:rsid w:val="00BC5506"/>
    <w:rsid w:val="00BC5918"/>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37FA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1EA"/>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D32C5"/>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8585984"/>
    <w:rsid w:val="1B157B5C"/>
    <w:rsid w:val="1B5B4C69"/>
    <w:rsid w:val="1CB776FC"/>
    <w:rsid w:val="1EEC2B86"/>
    <w:rsid w:val="1EF651FF"/>
    <w:rsid w:val="1F262338"/>
    <w:rsid w:val="1F550AAE"/>
    <w:rsid w:val="201D512F"/>
    <w:rsid w:val="21010D55"/>
    <w:rsid w:val="218E68BA"/>
    <w:rsid w:val="21D94E59"/>
    <w:rsid w:val="224156DA"/>
    <w:rsid w:val="230230BC"/>
    <w:rsid w:val="23612532"/>
    <w:rsid w:val="23984280"/>
    <w:rsid w:val="253B0B07"/>
    <w:rsid w:val="257449AC"/>
    <w:rsid w:val="2790205B"/>
    <w:rsid w:val="27E86D24"/>
    <w:rsid w:val="288D3427"/>
    <w:rsid w:val="28C54DCD"/>
    <w:rsid w:val="28CE4005"/>
    <w:rsid w:val="29170DC4"/>
    <w:rsid w:val="29F9354B"/>
    <w:rsid w:val="2A187669"/>
    <w:rsid w:val="2A73489F"/>
    <w:rsid w:val="2B293012"/>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A258E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9244EE"/>
    <w:rsid w:val="64AF414A"/>
    <w:rsid w:val="64D8544F"/>
    <w:rsid w:val="658E1FB1"/>
    <w:rsid w:val="66B75538"/>
    <w:rsid w:val="678C2521"/>
    <w:rsid w:val="68CD2DF1"/>
    <w:rsid w:val="69952E50"/>
    <w:rsid w:val="69A94B15"/>
    <w:rsid w:val="69C73CE4"/>
    <w:rsid w:val="69E67540"/>
    <w:rsid w:val="6A5A4C46"/>
    <w:rsid w:val="6A5C5EC8"/>
    <w:rsid w:val="6B321AFD"/>
    <w:rsid w:val="6BF90704"/>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EA0CFB"/>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DFC16AA"/>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A21D-912A-4311-A40E-4628E40D3D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17055</Words>
  <Characters>18124</Characters>
  <Lines>158</Lines>
  <Paragraphs>44</Paragraphs>
  <TotalTime>5</TotalTime>
  <ScaleCrop>false</ScaleCrop>
  <LinksUpToDate>false</LinksUpToDate>
  <CharactersWithSpaces>20891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2024-07-18T02:38:42Z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