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12</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盐城师范学院2024-2025学年食堂大宗食材</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（猪肉及猪副产品）采购项目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r>
        <w:rPr>
          <w:rFonts w:ascii="宋体" w:hAnsi="宋体" w:cs="黑体"/>
          <w:b/>
          <w:color w:val="FF0000"/>
          <w:sz w:val="36"/>
          <w:szCs w:val="36"/>
          <w:lang w:val="zh-CN"/>
        </w:rPr>
        <w:t xml:space="preserve"> </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29</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盐城师范学院2024-2025学年食堂大宗食材（猪肉及猪副产品）采购项目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12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盐城师范学院2024-2025学年食堂大宗食材（猪肉及猪副产品）采购项目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（2）投标人为生产企业，应提交的资格材料：动物防疫合格证（或“动物防疫条件合格证”）复印件；生猪定点屠宰证书复印件（加盖单位公章）；食品生产许可证复印件。</w:t>
      </w:r>
    </w:p>
    <w:p>
      <w:pPr>
        <w:spacing w:line="480" w:lineRule="exact"/>
        <w:ind w:firstLine="480" w:firstLineChars="200"/>
        <w:rPr>
          <w:rFonts w:ascii="宋体" w:hAnsi="宋体"/>
          <w:bCs/>
          <w:sz w:val="24"/>
          <w:szCs w:val="24"/>
        </w:rPr>
      </w:pPr>
      <w:r>
        <w:rPr>
          <w:rFonts w:hint="eastAsia" w:ascii="宋体" w:hAnsi="宋体"/>
          <w:bCs/>
          <w:sz w:val="24"/>
          <w:szCs w:val="24"/>
        </w:rPr>
        <w:t>投标人为代理商或经销商，除提交代理或经销品牌产品生产企业资格材料外，还应提交代理商或经销商授权书复印件、食品经营许可证复印件。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627"/>
      <w:bookmarkStart w:id="2" w:name="_Toc35393796"/>
      <w:bookmarkStart w:id="3" w:name="_Toc28359008"/>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pPr>
        <w:spacing w:line="480" w:lineRule="exact"/>
        <w:ind w:firstLine="5520" w:firstLineChars="2300"/>
        <w:rPr>
          <w:rStyle w:val="41"/>
          <w:rFonts w:ascii="宋体" w:hAnsi="宋体"/>
          <w:sz w:val="24"/>
        </w:rPr>
      </w:pPr>
      <w:r>
        <w:rPr>
          <w:rStyle w:val="41"/>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甲乙双方根据盐城师范学院2024-2025学年食堂大宗食材（猪肉及猪副产品）采购项目公开招标的结果，签署本合同。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一、货物名称：猪肉及猪副产品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1.乙方应严格遵守《中华人民共和国食品安全法》及其他法律法规的有关规定，确保所供猪肉及猪副产品质量符合国家相关产品质量标准GB/T 9959.3-2019，符合国家各级强制性规范的要求；</w:t>
      </w:r>
    </w:p>
    <w:p>
      <w:pPr>
        <w:spacing w:line="480" w:lineRule="exact"/>
        <w:ind w:firstLine="480" w:firstLineChars="200"/>
        <w:rPr>
          <w:rFonts w:ascii="宋体" w:hAnsi="宋体" w:cs="宋体"/>
          <w:sz w:val="24"/>
          <w:szCs w:val="24"/>
        </w:rPr>
      </w:pPr>
      <w:r>
        <w:rPr>
          <w:rFonts w:hint="eastAsia" w:ascii="宋体" w:hAnsi="宋体" w:cs="宋体"/>
          <w:sz w:val="24"/>
          <w:szCs w:val="24"/>
        </w:rPr>
        <w:t>2.所供货物必须为冷鲜肉，具有新鲜猪肉应有的香味，无异味，不添加人工色素；</w:t>
      </w:r>
    </w:p>
    <w:p>
      <w:pPr>
        <w:spacing w:line="480" w:lineRule="exact"/>
        <w:ind w:firstLine="480" w:firstLineChars="200"/>
        <w:rPr>
          <w:rFonts w:ascii="宋体" w:hAnsi="宋体" w:cs="宋体"/>
          <w:sz w:val="24"/>
          <w:szCs w:val="24"/>
        </w:rPr>
      </w:pPr>
      <w:r>
        <w:rPr>
          <w:rFonts w:hint="eastAsia" w:ascii="宋体" w:hAnsi="宋体" w:cs="宋体"/>
          <w:sz w:val="24"/>
          <w:szCs w:val="24"/>
        </w:rPr>
        <w:t>3．提供每批次《动物检疫合格证》；</w:t>
      </w:r>
    </w:p>
    <w:p>
      <w:pPr>
        <w:spacing w:line="480" w:lineRule="exact"/>
        <w:ind w:firstLine="480" w:firstLineChars="200"/>
        <w:rPr>
          <w:rFonts w:ascii="宋体" w:hAnsi="宋体" w:cs="宋体"/>
          <w:sz w:val="24"/>
          <w:szCs w:val="24"/>
        </w:rPr>
      </w:pPr>
      <w:r>
        <w:rPr>
          <w:rFonts w:hint="eastAsia" w:ascii="宋体" w:hAnsi="宋体" w:cs="宋体"/>
          <w:sz w:val="24"/>
          <w:szCs w:val="24"/>
        </w:rPr>
        <w:t>4．供货时需提供本产品合格检测报告。</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kern w:val="0"/>
          <w:sz w:val="24"/>
        </w:rPr>
        <w:t xml:space="preserve"> 凌家塘猪肉品</w:t>
      </w:r>
      <w:r>
        <w:rPr>
          <w:rFonts w:hint="eastAsia" w:ascii="宋体" w:hAnsi="宋体" w:cs="宋体"/>
          <w:sz w:val="24"/>
          <w:szCs w:val="24"/>
        </w:rPr>
        <w:t>首次供货价格以2024年8月29日（以实际供货时间前一日）江苏凌家塘市场发展有限公司网站公布的凌家塘市场“荤食”区鲜猪肉产品最底价*（1+乙方中标费率（浮动率    %））向甲方供应符合国家检验检疫标准的优质新鲜猪肉。之后每月1号、15号为下半月询价、定价日。如遇定价日网站未更新价格或没有的品种等特殊情况则以前一日的价格定价，向甲方供应符合国家检验检疫标准的优质新鲜猪肉。</w:t>
      </w:r>
    </w:p>
    <w:p>
      <w:pPr>
        <w:spacing w:line="480" w:lineRule="exact"/>
        <w:ind w:firstLine="480" w:firstLineChars="200"/>
        <w:rPr>
          <w:rFonts w:ascii="宋体" w:hAnsi="宋体" w:cs="宋体"/>
          <w:sz w:val="24"/>
          <w:szCs w:val="24"/>
        </w:rPr>
      </w:pPr>
      <w:r>
        <w:rPr>
          <w:rFonts w:hint="eastAsia" w:ascii="宋体" w:hAnsi="宋体" w:cs="宋体"/>
          <w:sz w:val="24"/>
          <w:szCs w:val="24"/>
        </w:rPr>
        <w:t>2.其他猪肉产品以固定单价向甲方供应符合国家检验检疫标准的优质新鲜猪肉，供货期内价格不调整，具体价格详见下表：</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6"/>
        <w:gridCol w:w="2928"/>
        <w:gridCol w:w="230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序号</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品名</w:t>
            </w:r>
          </w:p>
        </w:tc>
        <w:tc>
          <w:tcPr>
            <w:tcW w:w="2308" w:type="dxa"/>
            <w:vAlign w:val="center"/>
          </w:tcPr>
          <w:p>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29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1</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猪肝</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2</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板油</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鲜筒子骨</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4</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鲜杂骨</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1、采购内容：猪肉及猪副产品；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pacing w:val="-14"/>
          <w:kern w:val="0"/>
          <w:sz w:val="24"/>
          <w:szCs w:val="24"/>
        </w:rPr>
        <w:t>本次招标鲜猪肉价格以江苏凌家塘市场发展有限公司</w:t>
      </w:r>
      <w:r>
        <w:rPr>
          <w:rFonts w:hint="eastAsia" w:ascii="宋体" w:hAnsi="宋体" w:cs="宋体"/>
          <w:kern w:val="0"/>
          <w:sz w:val="24"/>
          <w:szCs w:val="24"/>
        </w:rPr>
        <w:t>网站公布的凌家塘市场菜价公示“荤食”区鲜猪肉产品最底价为依据填报浮动率。每月1号、15号为下半个月询价、定价日，如遇网上没有更新价格的特殊情况，则以前一日的价格定价或询价。定价日凌家塘市场菜价公示中没有的品种，则以前一日的价格定价。其他猪肉产品以固定价格向招标人供应符合国家检验检疫标准的优质新鲜猪肉。</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供货数量以高校后勤采供管理系统（http://211.65.1.76:9080/hq）每天下午四点生成的第二日供货订单为准。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猪肉产品:猪肉分割产品(鲜猪肉国家标准GB/T 9959.3-2019)</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1、所供货物应严格遵守《中华人民共和国食品安全法》及其他法律法规的有关规定，确保所供猪肉及猪副产品质量符合国家相关产品质量标准GB/T 9959.3-2019，符合国家各级强制性规范的要求。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2、投标人应按招标人计划要求，按本文件规定的品种、规格、质量提供成品食品原料。包装类食品产品送达日剩余保质期天数须大于产品总保质期2/3的天数，否则招标方有权拒绝收货。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所供货物必须为冷鲜肉，冷鲜肉是指严格执行兽医检疫制度，对屠宰后的畜胴体迅速进行冷却处理，使胴体温度(以后腿肉中心为测量点)在24小时内降为0-4℃，并在后续加工、流通和销售过程中始终保持0-4℃范围内的生鲜肉。因为在加工前经过了预冷排酸，使肉完成了"成熟"的过程，所以冷鲜肉看起来比较湿润，摸起来柔软有弹性，加工起来易入味，口感滑腻鲜嫩，冷鲜肉在-2-5℃温度下可保存七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4、投标人须提供每批次《动物检疫合格证》；供货时需提供本产品合格检测报告。</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5、鲜猪肉质量标准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鲜片鲜猪肉：每片重量30公斤以上，去槽头肉、奶脯肉、板油、脚爪，含水量不得超过77%国家标准。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一级鲜片猪肉：要求脊背肥膘厚度1公分以内。</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二级鲜片猪肉：要求脊背肥膘厚度2公分以内。</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三级鲜片猪肉：要求脊背肥膘厚度3公分以内。</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鲜猪肝：要求色泽新鲜，每挂猪肝不少于2斤。</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鲜猪爪：要求表面清洁，无脚圈，每只不少于6两。</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鲜肥膘：要求以实肥为准，整齐新鲜无异味。</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鲜心肺：要求整齐新鲜无异味无注水。</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鲜板油：要求表面清洁无异味。</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鲜前夹肉：要求脊肥膘厚度1.5厘米以下，去槽头，从第5—6根排骨为准,无下五花肉,精肉完整无缺，含水量不得超出国家标准。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鲜五花肉：要求肥瘦层次分明,不带奶脯，肥膘厚度1.5厘米以下，大小适中，非肋排用剩的五花肉。</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鲜精肉：要求不带筋络和肥膘，肌肉呈淡红色或灰红色，要完整一致，必须保证是后精肉，含水量不得超出国家标准。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鲜大排：长条状截面略呈正方形，不带肋排根，不带肥膘层，每根5斤以上，去梅条肉等。</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鲜排骨：以前夹肉部位和后座肉前面排骨为准，保证5根以上排骨，去掉前面颈骨；含肉量以不见骨头为准。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鲜里脊肉：去除筋络，表面整齐，含水量不得超出国家标准。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鲜前蹄：要求无下五花肉为准。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鲜猪皮：脊背部位的猪皮，要求褪毛、干净。</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注：1、鲜片猪肉以鲜片猪肉的第六、七肋骨中间平行至第六胸椎棘突前下方的皮膘厚度为准。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2、去三腺：摘除甲状腺、肾上腺、病变淋巴结。</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3、执行GB9959.1《分割鲜、冻鲜猪肉》、GB2707鲜畜肉卫生标准。</w:t>
      </w:r>
    </w:p>
    <w:p>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招标人根据评标委员会提出的书面评标报告和推荐的中标侯选人依法确定2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3016"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（40分）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cs="宋体"/>
                <w:bCs/>
                <w:kern w:val="0"/>
                <w:sz w:val="24"/>
              </w:rPr>
              <w:t>凌家塘猪肉品</w:t>
            </w:r>
            <w:r>
              <w:rPr>
                <w:rFonts w:hint="eastAsia" w:ascii="宋体" w:hAnsi="宋体"/>
                <w:sz w:val="24"/>
                <w:szCs w:val="24"/>
              </w:rPr>
              <w:t>报价方式：以江苏凌家塘市场发展有限公司网站公布的，凌家塘市场菜价公示，“荤食”区猪肉产品最底价为依据，在最底价基础上进行投标报价（报浮动率）。以满足招标文件要求的且投标报价最低的有效投标报价（1+最低浮动率）为评标基准价，其价格分为满分</w:t>
            </w:r>
            <w:r>
              <w:rPr>
                <w:rFonts w:hint="eastAsia" w:ascii="宋体" w:hAnsi="宋体"/>
                <w:b/>
                <w:sz w:val="24"/>
                <w:szCs w:val="24"/>
              </w:rPr>
              <w:t>32分</w:t>
            </w:r>
            <w:r>
              <w:rPr>
                <w:rFonts w:hint="eastAsia" w:ascii="宋体" w:hAnsi="宋体"/>
                <w:sz w:val="24"/>
                <w:szCs w:val="24"/>
              </w:rPr>
              <w:t>，其他投标人投标报价得分＝评标基准价（1+最低浮动率)÷其他投标人投标报价(1+其他投标浮动率）×32（四舍五入后保留小数点后两位）。</w:t>
            </w:r>
          </w:p>
          <w:p>
            <w:pPr>
              <w:ind w:firstLine="480" w:firstLineChars="200"/>
              <w:jc w:val="left"/>
              <w:rPr>
                <w:rFonts w:ascii="宋体" w:hAnsi="宋体"/>
                <w:sz w:val="24"/>
                <w:szCs w:val="24"/>
              </w:rPr>
            </w:pPr>
            <w:r>
              <w:rPr>
                <w:rFonts w:hint="eastAsia" w:ascii="宋体" w:hAnsi="宋体"/>
                <w:sz w:val="24"/>
                <w:szCs w:val="24"/>
              </w:rPr>
              <w:t>其他猪肉产品：满足招标文件要求且投标报价最低的有效投标报价为评标基准价，其价格分为满分</w:t>
            </w:r>
            <w:r>
              <w:rPr>
                <w:rFonts w:hint="eastAsia" w:ascii="宋体" w:hAnsi="宋体"/>
                <w:b/>
                <w:sz w:val="24"/>
                <w:szCs w:val="24"/>
              </w:rPr>
              <w:t>8分</w:t>
            </w:r>
            <w:r>
              <w:rPr>
                <w:rFonts w:hint="eastAsia" w:ascii="宋体" w:hAnsi="宋体"/>
                <w:sz w:val="24"/>
                <w:szCs w:val="24"/>
              </w:rPr>
              <w:t>，其他投标人的价格分按下列公式计算：投标报价得分＝（评标基准价/其他投标人投标报价）×8（四舍五入后保留小数点后两位）。</w:t>
            </w:r>
          </w:p>
        </w:tc>
      </w:tr>
      <w:tr>
        <w:tblPrEx>
          <w:tblCellMar>
            <w:top w:w="0" w:type="dxa"/>
            <w:left w:w="108" w:type="dxa"/>
            <w:bottom w:w="0" w:type="dxa"/>
            <w:right w:w="108" w:type="dxa"/>
          </w:tblCellMar>
        </w:tblPrEx>
        <w:trPr>
          <w:trHeight w:val="15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一、自2021年6月1日至投标截止日止，投标人具有与本项目内容相匹配的类似项目业绩，每份得3分。</w:t>
            </w:r>
            <w:r>
              <w:rPr>
                <w:rFonts w:hint="eastAsia" w:ascii="宋体" w:hAnsi="宋体"/>
                <w:b/>
                <w:bCs/>
                <w:sz w:val="24"/>
                <w:szCs w:val="24"/>
              </w:rPr>
              <w:t>本项最多得15分</w:t>
            </w:r>
            <w:r>
              <w:rPr>
                <w:rFonts w:hint="eastAsia" w:ascii="宋体" w:hAnsi="宋体"/>
                <w:sz w:val="24"/>
                <w:szCs w:val="24"/>
              </w:rPr>
              <w:t>，同一单位不同年度不重复计分。提供加盖投标人公章的合同复印件、服务单位盖章的意见反馈证明（格式自拟），缺一项不得分。</w:t>
            </w:r>
          </w:p>
        </w:tc>
      </w:tr>
    </w:tbl>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115"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二、投标人须有固定保鲜库用于猪肉分装储存，须提供保鲜库与投标单位之间关系的产权证明复印件，或提供投标单位租赁保鲜库合同复印件；提供保鲜库全景及内景照片。照片和复印件加盖投标人公章。</w:t>
            </w:r>
          </w:p>
          <w:p>
            <w:pPr>
              <w:ind w:firstLine="480" w:firstLineChars="200"/>
              <w:rPr>
                <w:rFonts w:ascii="宋体" w:hAnsi="宋体"/>
                <w:sz w:val="24"/>
                <w:szCs w:val="24"/>
              </w:rPr>
            </w:pPr>
            <w:r>
              <w:rPr>
                <w:rFonts w:hint="eastAsia" w:ascii="宋体" w:hAnsi="宋体"/>
                <w:sz w:val="24"/>
                <w:szCs w:val="24"/>
              </w:rPr>
              <w:t>保鲜库20平方米（含）以上的得5分，10平方米（含）至20平方米的得2.5分，小于10平方米的不得分。未按以上要求提供相关材料或扫描不清晰导致无法识别的不计得分。</w:t>
            </w:r>
            <w:r>
              <w:rPr>
                <w:rFonts w:hint="eastAsia" w:ascii="宋体" w:hAnsi="宋体"/>
                <w:b/>
                <w:sz w:val="24"/>
                <w:szCs w:val="24"/>
              </w:rPr>
              <w:t>本项最多得5分。</w:t>
            </w:r>
          </w:p>
        </w:tc>
      </w:tr>
      <w:tr>
        <w:tblPrEx>
          <w:tblCellMar>
            <w:top w:w="0" w:type="dxa"/>
            <w:left w:w="108" w:type="dxa"/>
            <w:bottom w:w="0" w:type="dxa"/>
            <w:right w:w="108" w:type="dxa"/>
          </w:tblCellMar>
        </w:tblPrEx>
        <w:trPr>
          <w:trHeight w:val="2396"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三、投标人有猪肉配送车辆，每有一辆得3分，配有冷链运输车辆有1辆加2分，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81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评分标准与依据（本项最多得15分）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满足以上三项要求得15分，满足以上两项要求得10分，满足一项得5分，其它情况不得分。格式自拟，加盖投标人公章。</w:t>
            </w:r>
          </w:p>
        </w:tc>
      </w:tr>
      <w:tr>
        <w:tblPrEx>
          <w:tblCellMar>
            <w:top w:w="0" w:type="dxa"/>
            <w:left w:w="108" w:type="dxa"/>
            <w:bottom w:w="0" w:type="dxa"/>
            <w:right w:w="108" w:type="dxa"/>
          </w:tblCellMar>
        </w:tblPrEx>
        <w:trPr>
          <w:trHeight w:val="354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投标人提供项目重点难点分析（包括食材采购、储存、分装和运输过程中保持新鲜；配送时间的把控等）的应对措施、合理化建议。</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满足以上三项要求得10分，满足以上两项要求得7分，满足一项得分3分，其它情况不得分。格式自拟，加盖投标人公章。</w:t>
            </w:r>
          </w:p>
        </w:tc>
      </w:tr>
    </w:tbl>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3103"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三、应急处理工作方案、预案</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 xml:space="preserve">投标人提供完备的物流配送、食品安全等方面的应急处理工作方案、预案。 </w:t>
            </w:r>
          </w:p>
          <w:p>
            <w:pPr>
              <w:ind w:firstLine="482" w:firstLineChars="200"/>
              <w:rPr>
                <w:rFonts w:ascii="宋体" w:hAnsi="宋体"/>
                <w:b/>
                <w:sz w:val="24"/>
                <w:szCs w:val="24"/>
              </w:rPr>
            </w:pPr>
            <w:r>
              <w:rPr>
                <w:rFonts w:hint="eastAsia" w:ascii="宋体" w:hAnsi="宋体"/>
                <w:b/>
                <w:sz w:val="24"/>
                <w:szCs w:val="24"/>
              </w:rPr>
              <w:t>2.评分标准与依据（本项最多得4分）</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b/>
                <w:sz w:val="24"/>
                <w:szCs w:val="24"/>
              </w:rPr>
            </w:pPr>
            <w:r>
              <w:rPr>
                <w:rFonts w:hint="eastAsia" w:ascii="宋体" w:hAnsi="宋体"/>
                <w:sz w:val="24"/>
                <w:szCs w:val="24"/>
              </w:rPr>
              <w:t>满足以上两项要求得4分，满足以上一项要求得2分，其它情况不得分。格式自拟，加盖投标人公章。</w:t>
            </w:r>
          </w:p>
        </w:tc>
      </w:tr>
      <w:tr>
        <w:tblPrEx>
          <w:tblCellMar>
            <w:top w:w="0" w:type="dxa"/>
            <w:left w:w="108" w:type="dxa"/>
            <w:bottom w:w="0" w:type="dxa"/>
            <w:right w:w="108" w:type="dxa"/>
          </w:tblCellMar>
        </w:tblPrEx>
        <w:trPr>
          <w:trHeight w:val="3388"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2.评分标准与依据（本项最多得6分）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满足以上三项要求得6分，满足以上两项要求得4分，满足一项得2分，其它情况不得分。格式自拟，加盖投标人公章。</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九、可行性实施方案、项目重点难点分析、应急处理工作方案和预案、违约承诺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9"/>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8" w:type="dxa"/>
            <w:vAlign w:val="center"/>
          </w:tcPr>
          <w:p>
            <w:pPr>
              <w:snapToGrid w:val="0"/>
              <w:rPr>
                <w:rFonts w:ascii="宋体" w:hAnsi="宋体"/>
                <w:b/>
                <w:sz w:val="24"/>
                <w:szCs w:val="21"/>
              </w:rPr>
            </w:pPr>
            <w:r>
              <w:rPr>
                <w:rFonts w:hint="eastAsia" w:ascii="宋体" w:hAnsi="宋体"/>
                <w:b/>
                <w:sz w:val="24"/>
                <w:szCs w:val="21"/>
              </w:rPr>
              <w:t>序号</w:t>
            </w:r>
          </w:p>
        </w:tc>
        <w:tc>
          <w:tcPr>
            <w:tcW w:w="5254"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574"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pPr>
              <w:ind w:firstLine="482" w:firstLineChars="200"/>
              <w:jc w:val="center"/>
              <w:rPr>
                <w:rFonts w:ascii="宋体" w:hAnsi="宋体"/>
                <w:b/>
                <w:sz w:val="24"/>
                <w:szCs w:val="21"/>
              </w:rPr>
            </w:pPr>
          </w:p>
        </w:tc>
        <w:tc>
          <w:tcPr>
            <w:tcW w:w="1515"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74"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rPr>
                <w:rFonts w:ascii="宋体" w:hAnsi="宋体"/>
                <w:iCs/>
                <w:sz w:val="24"/>
                <w:szCs w:val="24"/>
              </w:rPr>
            </w:pPr>
            <w:r>
              <w:rPr>
                <w:rFonts w:hint="eastAsia" w:ascii="宋体" w:hAnsi="宋体"/>
                <w:bCs/>
                <w:sz w:val="24"/>
              </w:rPr>
              <w:t>法定代表人、授权代理人人员名单</w:t>
            </w:r>
            <w:r>
              <w:rPr>
                <w:rFonts w:hint="eastAsia" w:ascii="宋体" w:hAnsi="宋体"/>
                <w:bCs/>
                <w:sz w:val="24"/>
                <w:szCs w:val="24"/>
              </w:rPr>
              <w:t>（身份证复印件附后）</w:t>
            </w:r>
            <w:r>
              <w:rPr>
                <w:rFonts w:hint="eastAsia" w:ascii="宋体" w:hAnsi="宋体"/>
                <w:bCs/>
                <w:sz w:val="24"/>
              </w:rPr>
              <w:t>。</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rPr>
                <w:rFonts w:ascii="宋体" w:hAnsi="宋体"/>
                <w:bCs/>
                <w:sz w:val="24"/>
              </w:rPr>
            </w:pPr>
            <w:r>
              <w:rPr>
                <w:rFonts w:hint="eastAsia" w:ascii="宋体" w:hAnsi="宋体"/>
                <w:bCs/>
                <w:sz w:val="24"/>
              </w:rPr>
              <w:t>投标人为生产企业，应提交的资格材料：动物防疫合格证（或“动物防疫条件合格证”）复印件；生猪定点屠宰证书复印件（加盖单位公章）；食品生产许可证复印件。</w:t>
            </w:r>
          </w:p>
          <w:p>
            <w:pPr>
              <w:snapToGrid w:val="0"/>
              <w:rPr>
                <w:rFonts w:ascii="宋体" w:hAnsi="宋体"/>
                <w:bCs/>
                <w:sz w:val="24"/>
              </w:rPr>
            </w:pPr>
            <w:r>
              <w:rPr>
                <w:rFonts w:hint="eastAsia" w:ascii="宋体" w:hAnsi="宋体"/>
                <w:bCs/>
                <w:sz w:val="24"/>
              </w:rPr>
              <w:t>投标人为代理商或经销商，除提交代理或经销品牌产品生产企业资格材料外，还应提交代理商或经销商授权书复印件、食品经营许可证复印件。</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未被“信用中国”网站</w:t>
            </w:r>
          </w:p>
          <w:p>
            <w:pPr>
              <w:snapToGrid w:val="0"/>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4</w:t>
            </w:r>
          </w:p>
        </w:tc>
        <w:tc>
          <w:tcPr>
            <w:tcW w:w="5254" w:type="dxa"/>
            <w:vAlign w:val="center"/>
          </w:tcPr>
          <w:p>
            <w:pPr>
              <w:rPr>
                <w:rFonts w:ascii="宋体" w:hAnsi="宋体"/>
                <w:iCs/>
                <w:sz w:val="24"/>
                <w:szCs w:val="24"/>
              </w:rPr>
            </w:pPr>
            <w:r>
              <w:rPr>
                <w:rFonts w:hint="eastAsia" w:ascii="宋体" w:hAnsi="宋体"/>
                <w:sz w:val="24"/>
                <w:szCs w:val="24"/>
              </w:rPr>
              <w:t>……</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74"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ind w:firstLine="480" w:firstLineChars="200"/>
              <w:jc w:val="center"/>
              <w:rPr>
                <w:rFonts w:ascii="宋体" w:hAnsi="宋体"/>
                <w:iCs/>
                <w:sz w:val="24"/>
                <w:szCs w:val="24"/>
              </w:rPr>
            </w:pP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pPr>
              <w:jc w:val="center"/>
              <w:rPr>
                <w:rFonts w:ascii="宋体" w:hAnsi="宋体"/>
                <w:sz w:val="24"/>
                <w:szCs w:val="21"/>
              </w:rPr>
            </w:pPr>
          </w:p>
        </w:tc>
        <w:tc>
          <w:tcPr>
            <w:tcW w:w="5254"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rPr>
                <w:rFonts w:asciiTheme="minorEastAsia" w:hAnsiTheme="minorEastAsia" w:eastAsiaTheme="minorEastAsia"/>
                <w:sz w:val="24"/>
                <w:szCs w:val="24"/>
              </w:rPr>
            </w:pP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Theme="minorEastAsia" w:hAnsiTheme="minorEastAsia" w:eastAsiaTheme="minorEastAsia"/>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投标人为生产企业，应提交的资格材料：动物防疫合格证（或“动物防疫条件合格证”）复印件；生猪定点屠宰证书复印件（加盖单位公章）；食品生产许可证复印件。</w:t>
      </w:r>
    </w:p>
    <w:p>
      <w:pPr>
        <w:snapToGrid w:val="0"/>
        <w:spacing w:line="480" w:lineRule="exact"/>
        <w:ind w:firstLine="480" w:firstLineChars="200"/>
        <w:rPr>
          <w:rFonts w:ascii="宋体" w:hAnsi="宋体"/>
          <w:sz w:val="24"/>
          <w:szCs w:val="24"/>
        </w:rPr>
      </w:pPr>
      <w:r>
        <w:rPr>
          <w:rFonts w:hint="eastAsia" w:ascii="宋体" w:hAnsi="宋体"/>
          <w:sz w:val="24"/>
          <w:szCs w:val="24"/>
        </w:rPr>
        <w:t>投标人为代理商或经销商，除提交代理或经销品牌产品生产企业资格材料外，还应提交代理商或经销商授权书复印件、食品经营许可证复印件。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bookmarkStart w:id="41" w:name="_GoBack"/>
      <w:bookmarkEnd w:id="41"/>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pageBreakBefore/>
        <w:jc w:val="center"/>
        <w:rPr>
          <w:rFonts w:ascii="宋体" w:hAnsi="宋体"/>
          <w:b/>
          <w:sz w:val="32"/>
          <w:szCs w:val="32"/>
        </w:rPr>
      </w:pPr>
      <w:r>
        <w:rPr>
          <w:rFonts w:hint="eastAsia" w:ascii="宋体" w:hAnsi="宋体"/>
          <w:b/>
          <w:sz w:val="32"/>
          <w:szCs w:val="32"/>
        </w:rPr>
        <w:t>代理商或经销商授权书</w:t>
      </w:r>
    </w:p>
    <w:p>
      <w:pPr>
        <w:spacing w:after="240" w:afterLines="100"/>
        <w:rPr>
          <w:rFonts w:ascii="仿宋_GB2312" w:hAnsi="仿宋" w:eastAsia="仿宋_GB2312"/>
          <w:sz w:val="28"/>
          <w:szCs w:val="28"/>
        </w:rPr>
      </w:pPr>
    </w:p>
    <w:p>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tabs>
          <w:tab w:val="left" w:pos="360"/>
        </w:tabs>
        <w:autoSpaceDE w:val="0"/>
        <w:autoSpaceDN w:val="0"/>
        <w:adjustRightInd w:val="0"/>
        <w:spacing w:line="520" w:lineRule="exact"/>
        <w:ind w:firstLine="480"/>
        <w:rPr>
          <w:sz w:val="24"/>
          <w:szCs w:val="24"/>
        </w:rPr>
      </w:pP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9"/>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vMerge w:val="restart"/>
            <w:tcBorders>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rPr>
                <w:rFonts w:ascii="宋体" w:hAnsi="Arial" w:cs="宋体"/>
                <w:sz w:val="24"/>
                <w:lang w:val="zh-CN"/>
              </w:rPr>
            </w:pPr>
            <w:r>
              <w:rPr>
                <w:rFonts w:hint="eastAsia" w:ascii="宋体" w:hAnsi="Arial" w:cs="宋体"/>
                <w:sz w:val="24"/>
                <w:szCs w:val="24"/>
                <w:lang w:val="zh-CN"/>
              </w:rPr>
              <w:t>猪肉投标浮动率：</w:t>
            </w: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浮动率大写：</w:t>
            </w:r>
            <w:r>
              <w:rPr>
                <w:rFonts w:hint="eastAsia" w:ascii="宋体" w:hAnsi="Arial" w:cs="宋体"/>
                <w:sz w:val="24"/>
                <w:u w:val="single"/>
                <w:lang w:val="zh-CN"/>
              </w:rPr>
              <w:t xml:space="preserve">                  </w:t>
            </w:r>
          </w:p>
          <w:p>
            <w:pPr>
              <w:autoSpaceDE w:val="0"/>
              <w:autoSpaceDN w:val="0"/>
              <w:adjustRightInd w:val="0"/>
              <w:spacing w:line="480" w:lineRule="auto"/>
              <w:ind w:firstLine="720" w:firstLineChars="30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vMerge w:val="continue"/>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80" w:lineRule="auto"/>
              <w:rPr>
                <w:rFonts w:ascii="宋体" w:hAnsi="Arial" w:cs="宋体"/>
                <w:sz w:val="24"/>
                <w:szCs w:val="24"/>
                <w:lang w:val="zh-CN"/>
              </w:rPr>
            </w:pPr>
            <w:r>
              <w:rPr>
                <w:rFonts w:hint="eastAsia" w:ascii="宋体" w:hAnsi="Arial" w:cs="宋体"/>
                <w:sz w:val="24"/>
                <w:szCs w:val="24"/>
                <w:lang w:val="zh-CN"/>
              </w:rPr>
              <w:t>其他猪肉产品投标</w:t>
            </w:r>
            <w:r>
              <w:rPr>
                <w:rFonts w:hint="eastAsia" w:ascii="宋体" w:hAnsi="Arial" w:cs="宋体"/>
                <w:sz w:val="24"/>
                <w:szCs w:val="24"/>
              </w:rPr>
              <w:t>总</w:t>
            </w:r>
            <w:r>
              <w:rPr>
                <w:rFonts w:hint="eastAsia" w:ascii="宋体" w:hAnsi="Arial" w:cs="宋体"/>
                <w:sz w:val="24"/>
                <w:szCs w:val="24"/>
                <w:lang w:val="zh-CN"/>
              </w:rPr>
              <w:t>报价：</w:t>
            </w:r>
          </w:p>
          <w:p>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p>
      <w:pPr>
        <w:spacing w:after="100" w:afterAutospacing="1" w:line="440" w:lineRule="exact"/>
        <w:jc w:val="center"/>
        <w:rPr>
          <w:rFonts w:ascii="宋体" w:hAnsi="宋体" w:cs="宋体"/>
          <w:b/>
          <w:kern w:val="0"/>
          <w:sz w:val="24"/>
          <w:szCs w:val="24"/>
        </w:rPr>
      </w:pPr>
      <w:r>
        <w:rPr>
          <w:rFonts w:hint="eastAsia" w:ascii="宋体" w:hAnsi="宋体" w:cs="宋体"/>
          <w:b/>
          <w:bCs/>
          <w:kern w:val="0"/>
          <w:sz w:val="24"/>
        </w:rPr>
        <w:t>凌家塘猪肉品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290"/>
        <w:gridCol w:w="4461"/>
        <w:gridCol w:w="212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9" w:type="dxa"/>
            <w:vAlign w:val="center"/>
          </w:tcPr>
          <w:p>
            <w:pPr>
              <w:widowControl/>
              <w:snapToGrid w:val="0"/>
              <w:jc w:val="center"/>
              <w:rPr>
                <w:rFonts w:ascii="宋体" w:hAnsi="宋体" w:cs="宋体"/>
                <w:bCs/>
                <w:kern w:val="0"/>
                <w:sz w:val="24"/>
              </w:rPr>
            </w:pPr>
            <w:r>
              <w:rPr>
                <w:rFonts w:hint="eastAsia" w:ascii="宋体" w:hAnsi="宋体" w:cs="宋体"/>
                <w:bCs/>
                <w:kern w:val="0"/>
                <w:sz w:val="24"/>
              </w:rPr>
              <w:t>序号</w:t>
            </w:r>
          </w:p>
        </w:tc>
        <w:tc>
          <w:tcPr>
            <w:tcW w:w="1290" w:type="dxa"/>
            <w:vAlign w:val="center"/>
          </w:tcPr>
          <w:p>
            <w:pPr>
              <w:widowControl/>
              <w:snapToGrid w:val="0"/>
              <w:jc w:val="center"/>
              <w:rPr>
                <w:rFonts w:ascii="宋体" w:hAnsi="宋体" w:cs="宋体"/>
                <w:bCs/>
                <w:kern w:val="0"/>
                <w:sz w:val="24"/>
              </w:rPr>
            </w:pPr>
            <w:r>
              <w:rPr>
                <w:rFonts w:hint="eastAsia" w:ascii="宋体" w:hAnsi="宋体" w:cs="宋体"/>
                <w:bCs/>
                <w:kern w:val="0"/>
                <w:sz w:val="24"/>
              </w:rPr>
              <w:t>货物名称</w:t>
            </w:r>
          </w:p>
        </w:tc>
        <w:tc>
          <w:tcPr>
            <w:tcW w:w="4461" w:type="dxa"/>
            <w:vAlign w:val="center"/>
          </w:tcPr>
          <w:p>
            <w:pPr>
              <w:widowControl/>
              <w:snapToGrid w:val="0"/>
              <w:jc w:val="center"/>
              <w:rPr>
                <w:rFonts w:ascii="宋体" w:hAnsi="宋体" w:cs="楷体"/>
                <w:sz w:val="24"/>
                <w:szCs w:val="24"/>
              </w:rPr>
            </w:pPr>
            <w:r>
              <w:rPr>
                <w:rFonts w:hint="eastAsia" w:ascii="宋体" w:hAnsi="宋体" w:cs="楷体"/>
                <w:sz w:val="24"/>
                <w:szCs w:val="24"/>
              </w:rPr>
              <w:t>最高限价</w:t>
            </w:r>
          </w:p>
        </w:tc>
        <w:tc>
          <w:tcPr>
            <w:tcW w:w="2126" w:type="dxa"/>
            <w:vAlign w:val="center"/>
          </w:tcPr>
          <w:p>
            <w:pPr>
              <w:widowControl/>
              <w:snapToGrid w:val="0"/>
              <w:jc w:val="center"/>
              <w:rPr>
                <w:rFonts w:ascii="宋体" w:hAnsi="宋体" w:cs="宋体"/>
                <w:bCs/>
                <w:kern w:val="0"/>
                <w:sz w:val="24"/>
              </w:rPr>
            </w:pPr>
            <w:r>
              <w:rPr>
                <w:rFonts w:hint="eastAsia" w:ascii="宋体" w:hAnsi="宋体" w:cs="楷体"/>
                <w:sz w:val="24"/>
                <w:szCs w:val="24"/>
              </w:rPr>
              <w:t>投标</w:t>
            </w:r>
            <w:r>
              <w:rPr>
                <w:rFonts w:hint="eastAsia" w:ascii="宋体" w:hAnsi="宋体" w:cs="宋体"/>
                <w:bCs/>
                <w:kern w:val="0"/>
                <w:sz w:val="24"/>
              </w:rPr>
              <w:t>浮动率</w:t>
            </w:r>
            <w:r>
              <w:rPr>
                <w:rFonts w:hint="eastAsia" w:ascii="宋体" w:hAnsi="Arial" w:cs="宋体"/>
                <w:sz w:val="24"/>
                <w:szCs w:val="24"/>
                <w:lang w:val="zh-CN"/>
              </w:rPr>
              <w:t>%（保留小数点后2位）</w:t>
            </w:r>
          </w:p>
        </w:tc>
        <w:tc>
          <w:tcPr>
            <w:tcW w:w="916" w:type="dxa"/>
            <w:vAlign w:val="center"/>
          </w:tcPr>
          <w:p>
            <w:pPr>
              <w:widowControl/>
              <w:snapToGrid w:val="0"/>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929" w:type="dxa"/>
            <w:vAlign w:val="center"/>
          </w:tcPr>
          <w:p>
            <w:pPr>
              <w:widowControl/>
              <w:snapToGrid w:val="0"/>
              <w:jc w:val="center"/>
              <w:rPr>
                <w:rFonts w:ascii="宋体" w:hAnsi="宋体" w:cs="宋体"/>
                <w:bCs/>
                <w:kern w:val="0"/>
                <w:sz w:val="24"/>
              </w:rPr>
            </w:pPr>
            <w:r>
              <w:rPr>
                <w:rFonts w:hint="eastAsia" w:ascii="宋体" w:hAnsi="宋体" w:cs="宋体"/>
                <w:bCs/>
                <w:kern w:val="0"/>
                <w:sz w:val="24"/>
              </w:rPr>
              <w:t>1</w:t>
            </w:r>
          </w:p>
        </w:tc>
        <w:tc>
          <w:tcPr>
            <w:tcW w:w="1290" w:type="dxa"/>
            <w:vAlign w:val="center"/>
          </w:tcPr>
          <w:p>
            <w:pPr>
              <w:widowControl/>
              <w:snapToGrid w:val="0"/>
              <w:jc w:val="center"/>
              <w:rPr>
                <w:rFonts w:ascii="宋体" w:hAnsi="宋体" w:cs="宋体"/>
                <w:bCs/>
                <w:kern w:val="0"/>
                <w:sz w:val="24"/>
              </w:rPr>
            </w:pPr>
            <w:r>
              <w:rPr>
                <w:rFonts w:hint="eastAsia" w:ascii="宋体" w:hAnsi="宋体" w:cs="宋体"/>
                <w:bCs/>
                <w:kern w:val="0"/>
                <w:sz w:val="24"/>
              </w:rPr>
              <w:t>凌家塘猪肉品（详见凌家塘猪肉品种清单表）</w:t>
            </w:r>
          </w:p>
        </w:tc>
        <w:tc>
          <w:tcPr>
            <w:tcW w:w="4461" w:type="dxa"/>
            <w:vAlign w:val="center"/>
          </w:tcPr>
          <w:p>
            <w:pPr>
              <w:widowControl/>
              <w:snapToGrid w:val="0"/>
              <w:jc w:val="left"/>
              <w:rPr>
                <w:rFonts w:ascii="宋体" w:hAnsi="宋体" w:cs="宋体"/>
                <w:bCs/>
                <w:kern w:val="0"/>
                <w:sz w:val="24"/>
              </w:rPr>
            </w:pPr>
            <w:r>
              <w:rPr>
                <w:rFonts w:hint="eastAsia" w:ascii="宋体" w:hAnsi="宋体" w:cs="楷体"/>
                <w:kern w:val="0"/>
                <w:sz w:val="24"/>
                <w:szCs w:val="24"/>
              </w:rPr>
              <w:t>以江苏凌家塘市场发展有限公司网站公布的，凌家塘市场菜价公示，“荤食”区鲜猪肉产品最底价为依据，在最底价基础上（报浮动率%）进行报价。浮动率上浮不得超过20%，否则为无效报价。</w:t>
            </w:r>
          </w:p>
        </w:tc>
        <w:tc>
          <w:tcPr>
            <w:tcW w:w="2126" w:type="dxa"/>
            <w:vAlign w:val="center"/>
          </w:tcPr>
          <w:p>
            <w:pPr>
              <w:widowControl/>
              <w:snapToGrid w:val="0"/>
              <w:jc w:val="center"/>
              <w:rPr>
                <w:rFonts w:ascii="宋体" w:hAnsi="宋体" w:cs="宋体"/>
                <w:bCs/>
                <w:kern w:val="0"/>
                <w:sz w:val="24"/>
              </w:rPr>
            </w:pPr>
          </w:p>
        </w:tc>
        <w:tc>
          <w:tcPr>
            <w:tcW w:w="916" w:type="dxa"/>
            <w:vAlign w:val="center"/>
          </w:tcPr>
          <w:p>
            <w:pPr>
              <w:widowControl/>
              <w:snapToGrid w:val="0"/>
              <w:jc w:val="center"/>
              <w:rPr>
                <w:rFonts w:ascii="宋体" w:hAnsi="宋体" w:cs="宋体"/>
                <w:bCs/>
                <w:kern w:val="0"/>
                <w:sz w:val="24"/>
              </w:rPr>
            </w:pPr>
          </w:p>
        </w:tc>
      </w:tr>
    </w:tbl>
    <w:p>
      <w:pPr>
        <w:pStyle w:val="49"/>
        <w:spacing w:before="100" w:beforeAutospacing="1" w:after="100" w:afterAutospacing="1"/>
        <w:ind w:left="0"/>
        <w:jc w:val="center"/>
        <w:rPr>
          <w:rFonts w:ascii="宋体" w:hAnsi="宋体" w:cs="楷体"/>
          <w:b/>
          <w:bCs/>
          <w:szCs w:val="28"/>
        </w:rPr>
      </w:pPr>
      <w:r>
        <w:rPr>
          <w:rFonts w:hint="eastAsia" w:ascii="宋体" w:hAnsi="宋体" w:cs="楷体"/>
          <w:b/>
          <w:bCs/>
          <w:szCs w:val="28"/>
        </w:rPr>
        <w:t>其他猪肉产品</w:t>
      </w:r>
    </w:p>
    <w:tbl>
      <w:tblPr>
        <w:tblStyle w:val="19"/>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567"/>
        <w:gridCol w:w="1236"/>
        <w:gridCol w:w="1566"/>
        <w:gridCol w:w="1566"/>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序号</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1236" w:type="dxa"/>
            <w:vAlign w:val="center"/>
          </w:tcPr>
          <w:p>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预计采购数量</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最高限价</w:t>
            </w:r>
          </w:p>
          <w:p>
            <w:pPr>
              <w:adjustRightInd w:val="0"/>
              <w:snapToGrid w:val="0"/>
              <w:jc w:val="center"/>
              <w:rPr>
                <w:rFonts w:ascii="宋体" w:hAnsi="宋体" w:cs="楷体"/>
                <w:sz w:val="24"/>
                <w:szCs w:val="24"/>
              </w:rPr>
            </w:pPr>
            <w:r>
              <w:rPr>
                <w:rFonts w:hint="eastAsia" w:ascii="宋体" w:hAnsi="宋体" w:cs="楷体"/>
                <w:sz w:val="24"/>
                <w:szCs w:val="24"/>
              </w:rPr>
              <w:t>（元）</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投标单价</w:t>
            </w:r>
          </w:p>
          <w:p>
            <w:pPr>
              <w:adjustRightInd w:val="0"/>
              <w:snapToGrid w:val="0"/>
              <w:jc w:val="center"/>
              <w:rPr>
                <w:rFonts w:ascii="宋体" w:hAnsi="宋体" w:cs="楷体"/>
                <w:sz w:val="24"/>
                <w:szCs w:val="24"/>
              </w:rPr>
            </w:pPr>
            <w:r>
              <w:rPr>
                <w:rFonts w:hint="eastAsia" w:ascii="宋体" w:hAnsi="宋体" w:cs="楷体"/>
                <w:sz w:val="24"/>
                <w:szCs w:val="24"/>
              </w:rPr>
              <w:t>（元）</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投标合价</w:t>
            </w:r>
          </w:p>
          <w:p>
            <w:pPr>
              <w:adjustRightInd w:val="0"/>
              <w:snapToGrid w:val="0"/>
              <w:jc w:val="center"/>
              <w:rPr>
                <w:rFonts w:ascii="宋体" w:hAnsi="宋体" w:cs="楷体"/>
                <w:sz w:val="24"/>
                <w:szCs w:val="24"/>
              </w:rPr>
            </w:pPr>
            <w:r>
              <w:rPr>
                <w:rFonts w:hint="eastAsia" w:ascii="宋体" w:hAnsi="宋体" w:cs="楷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1</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猪肝</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3500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6.5</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2</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板油</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1800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6.0</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3</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鲜筒子骨</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700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10.00</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4</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鲜杂骨</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6.00</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330" w:type="dxa"/>
            <w:gridSpan w:val="2"/>
            <w:vAlign w:val="center"/>
          </w:tcPr>
          <w:p>
            <w:pPr>
              <w:adjustRightInd w:val="0"/>
              <w:snapToGrid w:val="0"/>
              <w:jc w:val="center"/>
              <w:rPr>
                <w:rFonts w:ascii="宋体" w:hAnsi="宋体" w:cs="楷体"/>
                <w:sz w:val="24"/>
                <w:szCs w:val="24"/>
              </w:rPr>
            </w:pPr>
            <w:r>
              <w:rPr>
                <w:rFonts w:hint="eastAsia" w:ascii="宋体" w:hAnsi="宋体" w:cs="楷体"/>
                <w:kern w:val="0"/>
                <w:sz w:val="24"/>
                <w:szCs w:val="24"/>
                <w:lang w:bidi="ar"/>
              </w:rPr>
              <w:t>合计（元）</w:t>
            </w:r>
          </w:p>
        </w:tc>
        <w:tc>
          <w:tcPr>
            <w:tcW w:w="123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830" w:type="dxa"/>
            <w:gridSpan w:val="7"/>
          </w:tcPr>
          <w:p>
            <w:pPr>
              <w:adjustRightInd w:val="0"/>
              <w:snapToGrid w:val="0"/>
              <w:rPr>
                <w:rFonts w:ascii="宋体" w:hAnsi="宋体" w:cs="楷体"/>
                <w:sz w:val="24"/>
                <w:szCs w:val="24"/>
              </w:rPr>
            </w:pPr>
            <w:r>
              <w:rPr>
                <w:rFonts w:ascii="宋体" w:hAnsi="宋体" w:cs="楷体"/>
                <w:sz w:val="24"/>
                <w:szCs w:val="24"/>
              </w:rPr>
              <w:t>注：</w:t>
            </w:r>
            <w:r>
              <w:rPr>
                <w:rFonts w:hint="eastAsia" w:ascii="宋体" w:hAnsi="宋体" w:cs="楷体"/>
                <w:sz w:val="24"/>
                <w:szCs w:val="24"/>
              </w:rPr>
              <w:t>1、投标人必须按计量单位、预计采购数量进行报价，</w:t>
            </w:r>
            <w:r>
              <w:rPr>
                <w:rFonts w:hint="eastAsia" w:ascii="宋体" w:hAnsi="宋体" w:cs="宋体"/>
                <w:b/>
                <w:color w:val="000000"/>
                <w:kern w:val="0"/>
                <w:sz w:val="24"/>
                <w:szCs w:val="24"/>
              </w:rPr>
              <w:t>投标报价保留小数点后两位，</w:t>
            </w:r>
            <w:r>
              <w:rPr>
                <w:rFonts w:hint="eastAsia" w:ascii="宋体" w:hAnsi="宋体" w:cs="楷体"/>
                <w:sz w:val="24"/>
                <w:szCs w:val="24"/>
              </w:rPr>
              <w:t>所有品种必须全部报价，否则为无效标书。</w:t>
            </w:r>
          </w:p>
          <w:p>
            <w:pPr>
              <w:adjustRightInd w:val="0"/>
              <w:snapToGrid w:val="0"/>
              <w:ind w:firstLine="480"/>
              <w:rPr>
                <w:rFonts w:ascii="宋体" w:hAnsi="宋体" w:cs="楷体"/>
                <w:sz w:val="24"/>
                <w:szCs w:val="24"/>
              </w:rPr>
            </w:pPr>
            <w:r>
              <w:rPr>
                <w:rFonts w:hint="eastAsia" w:ascii="宋体" w:hAnsi="宋体" w:cs="楷体"/>
                <w:sz w:val="24"/>
                <w:szCs w:val="24"/>
              </w:rPr>
              <w:t>2、投标人报价不得高于最高限价，否则为无效标书。</w:t>
            </w:r>
          </w:p>
          <w:p>
            <w:pPr>
              <w:adjustRightInd w:val="0"/>
              <w:snapToGrid w:val="0"/>
              <w:ind w:firstLine="480"/>
              <w:rPr>
                <w:rFonts w:ascii="宋体" w:hAnsi="宋体" w:cs="楷体"/>
                <w:sz w:val="24"/>
                <w:szCs w:val="24"/>
              </w:rPr>
            </w:pPr>
            <w:r>
              <w:rPr>
                <w:rFonts w:hint="eastAsia" w:ascii="宋体" w:hAnsi="宋体" w:cs="楷体"/>
                <w:sz w:val="24"/>
                <w:szCs w:val="24"/>
              </w:rPr>
              <w:t>3、供货期内投标单价不得调整。</w:t>
            </w:r>
          </w:p>
        </w:tc>
      </w:tr>
    </w:tbl>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10"/>
        <w:spacing w:after="100" w:afterAutospacing="1" w:line="700" w:lineRule="exact"/>
        <w:ind w:left="0" w:leftChars="0"/>
        <w:jc w:val="center"/>
        <w:rPr>
          <w:rFonts w:ascii="宋体" w:hAnsi="宋体" w:eastAsia="宋体" w:cs="楷体"/>
          <w:b/>
          <w:bCs/>
          <w:sz w:val="28"/>
          <w:szCs w:val="28"/>
        </w:rPr>
      </w:pPr>
      <w:r>
        <w:rPr>
          <w:rFonts w:ascii="宋体" w:hAnsi="Arial"/>
          <w:sz w:val="24"/>
          <w:lang w:val="zh-CN"/>
        </w:rPr>
        <w:br w:type="page"/>
      </w:r>
      <w:r>
        <w:rPr>
          <w:rFonts w:hint="eastAsia" w:ascii="宋体" w:hAnsi="宋体" w:eastAsia="宋体" w:cs="楷体"/>
          <w:b/>
          <w:bCs/>
          <w:sz w:val="28"/>
          <w:szCs w:val="28"/>
        </w:rPr>
        <w:t>凌家塘猪肉品种清单表</w:t>
      </w:r>
    </w:p>
    <w:tbl>
      <w:tblPr>
        <w:tblStyle w:val="1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865"/>
        <w:gridCol w:w="2075"/>
        <w:gridCol w:w="3377"/>
        <w:gridCol w:w="110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0" w:type="dxa"/>
            <w:vMerge w:val="restart"/>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荤食区</w:t>
            </w: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序号</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凌家塘猪肉名称</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对应名称</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规格</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猪蹄髈</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鲜去骨猪前蹄</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2</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猪脚爪</w:t>
            </w:r>
          </w:p>
        </w:tc>
        <w:tc>
          <w:tcPr>
            <w:tcW w:w="3377" w:type="dxa"/>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鲜1/2猪前爪（无脚圈）</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3</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猪肚</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鲜猪肚</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4</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猪前腿肉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鲜前夹肉/鲜去皮前夹肉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去骨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5</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猪后腿肉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鲜后腿肉/鲜去皮后腿肉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去骨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6</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猪大排肉</w:t>
            </w:r>
          </w:p>
        </w:tc>
        <w:tc>
          <w:tcPr>
            <w:tcW w:w="3377" w:type="dxa"/>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切片鲜大排（1.6两/片）</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7</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猪肥膘</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鲜猪肥膘</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8</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猪口条</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鲜猪口条</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9</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猪耳朵</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鲜猪耳朵</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10</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猪心</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鲜猪心</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11</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猪肋条肉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鲜有皮五花肉/鲜无皮五花肉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shd w:val="clear" w:color="auto" w:fill="auto"/>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shd w:val="clear" w:color="auto" w:fill="auto"/>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12</w:t>
            </w:r>
          </w:p>
        </w:tc>
        <w:tc>
          <w:tcPr>
            <w:tcW w:w="2075" w:type="dxa"/>
            <w:shd w:val="clear" w:color="000000" w:fill="FFFFFF"/>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冻小排</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shd w:val="clear" w:color="auto" w:fill="auto"/>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shd w:val="clear" w:color="auto" w:fill="auto"/>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13</w:t>
            </w:r>
          </w:p>
        </w:tc>
        <w:tc>
          <w:tcPr>
            <w:tcW w:w="2075" w:type="dxa"/>
            <w:shd w:val="clear" w:color="000000" w:fill="FFFFFF"/>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宋体" w:hAnsi="宋体" w:cs="楷体"/>
              </w:rPr>
              <w:t>鲜后座精肉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精瘦肉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bl>
    <w:p>
      <w:pPr>
        <w:autoSpaceDE w:val="0"/>
        <w:autoSpaceDN w:val="0"/>
        <w:adjustRightInd w:val="0"/>
        <w:spacing w:line="600" w:lineRule="exact"/>
        <w:rPr>
          <w:rFonts w:ascii="宋体" w:hAnsi="Arial" w:cs="宋体"/>
          <w:sz w:val="24"/>
          <w:szCs w:val="24"/>
          <w:lang w:val="zh-CN"/>
        </w:rPr>
      </w:pPr>
    </w:p>
    <w:p>
      <w:pPr>
        <w:autoSpaceDE w:val="0"/>
        <w:autoSpaceDN w:val="0"/>
        <w:adjustRightInd w:val="0"/>
        <w:spacing w:line="600" w:lineRule="exact"/>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可行性实施方案、项目重点难点分析、应急处理工作方案和预案、违约承诺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25</w:t>
    </w:r>
    <w:r>
      <w:rPr>
        <w:rFonts w:ascii="宋体" w:hAns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45</w:t>
    </w:r>
    <w:r>
      <w:fldChar w:fldCharType="end"/>
    </w:r>
  </w:p>
  <w:p>
    <w:pPr>
      <w:pStyle w:val="1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2085"/>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25B0"/>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1EA9"/>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A595D"/>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70618"/>
    <w:rsid w:val="00370C52"/>
    <w:rsid w:val="00375E12"/>
    <w:rsid w:val="00375F58"/>
    <w:rsid w:val="00380C41"/>
    <w:rsid w:val="00383C02"/>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0D4B"/>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A2056"/>
    <w:rsid w:val="004A4603"/>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C54"/>
    <w:rsid w:val="00635FD3"/>
    <w:rsid w:val="00640789"/>
    <w:rsid w:val="0064256C"/>
    <w:rsid w:val="00642BDB"/>
    <w:rsid w:val="0064346F"/>
    <w:rsid w:val="006442A8"/>
    <w:rsid w:val="0065064B"/>
    <w:rsid w:val="006539F5"/>
    <w:rsid w:val="00653E55"/>
    <w:rsid w:val="006564BD"/>
    <w:rsid w:val="00657AA1"/>
    <w:rsid w:val="006636D8"/>
    <w:rsid w:val="00670C95"/>
    <w:rsid w:val="0067142A"/>
    <w:rsid w:val="00672F18"/>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187E"/>
    <w:rsid w:val="00732E17"/>
    <w:rsid w:val="0073326E"/>
    <w:rsid w:val="007346FA"/>
    <w:rsid w:val="00745D7D"/>
    <w:rsid w:val="007513D2"/>
    <w:rsid w:val="00752D56"/>
    <w:rsid w:val="00752E5E"/>
    <w:rsid w:val="00763F71"/>
    <w:rsid w:val="00764EB2"/>
    <w:rsid w:val="007666FD"/>
    <w:rsid w:val="0076734A"/>
    <w:rsid w:val="00770808"/>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1705C"/>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56D15"/>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36AE8"/>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B6B"/>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426"/>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6354"/>
    <w:rsid w:val="00DA7B4F"/>
    <w:rsid w:val="00DB354C"/>
    <w:rsid w:val="00DB4A57"/>
    <w:rsid w:val="00DB4E8B"/>
    <w:rsid w:val="00DB5BA2"/>
    <w:rsid w:val="00DB772C"/>
    <w:rsid w:val="00DC031C"/>
    <w:rsid w:val="00DC2D7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76851"/>
    <w:rsid w:val="00E8060E"/>
    <w:rsid w:val="00E8680D"/>
    <w:rsid w:val="00E9021B"/>
    <w:rsid w:val="00E9064D"/>
    <w:rsid w:val="00E915DC"/>
    <w:rsid w:val="00E96CA0"/>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58BE"/>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30A81"/>
    <w:rsid w:val="00F30AE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5E43"/>
    <w:rsid w:val="00FD664E"/>
    <w:rsid w:val="00FE038C"/>
    <w:rsid w:val="00FE4425"/>
    <w:rsid w:val="00FE5130"/>
    <w:rsid w:val="00FE5C88"/>
    <w:rsid w:val="00FE63BE"/>
    <w:rsid w:val="00FF1A4F"/>
    <w:rsid w:val="00FF1BAC"/>
    <w:rsid w:val="00FF5421"/>
    <w:rsid w:val="00FF54F8"/>
    <w:rsid w:val="00FF58D9"/>
    <w:rsid w:val="00FF72E5"/>
    <w:rsid w:val="018A5D41"/>
    <w:rsid w:val="01E45FB7"/>
    <w:rsid w:val="02242E8E"/>
    <w:rsid w:val="02415C62"/>
    <w:rsid w:val="02872629"/>
    <w:rsid w:val="035058C7"/>
    <w:rsid w:val="035E0DBD"/>
    <w:rsid w:val="03F86B1C"/>
    <w:rsid w:val="04784D87"/>
    <w:rsid w:val="060317A8"/>
    <w:rsid w:val="07C35693"/>
    <w:rsid w:val="08BF40AC"/>
    <w:rsid w:val="08CE22D8"/>
    <w:rsid w:val="099A468B"/>
    <w:rsid w:val="0A875C10"/>
    <w:rsid w:val="0A8D0F51"/>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5A2C95"/>
    <w:rsid w:val="13737F6D"/>
    <w:rsid w:val="1399762A"/>
    <w:rsid w:val="13D6674E"/>
    <w:rsid w:val="13DD7ADC"/>
    <w:rsid w:val="14BA3751"/>
    <w:rsid w:val="15172FC0"/>
    <w:rsid w:val="1530696F"/>
    <w:rsid w:val="16B25250"/>
    <w:rsid w:val="17391D92"/>
    <w:rsid w:val="17544085"/>
    <w:rsid w:val="1820443C"/>
    <w:rsid w:val="18431CDB"/>
    <w:rsid w:val="1EF651FF"/>
    <w:rsid w:val="1F262338"/>
    <w:rsid w:val="1F550AAE"/>
    <w:rsid w:val="21010D55"/>
    <w:rsid w:val="21D94E59"/>
    <w:rsid w:val="224156DA"/>
    <w:rsid w:val="230230BC"/>
    <w:rsid w:val="23984280"/>
    <w:rsid w:val="253B0B07"/>
    <w:rsid w:val="257449AC"/>
    <w:rsid w:val="2790205B"/>
    <w:rsid w:val="288D3427"/>
    <w:rsid w:val="28C54DCD"/>
    <w:rsid w:val="28CE4005"/>
    <w:rsid w:val="29F9354B"/>
    <w:rsid w:val="2A73489F"/>
    <w:rsid w:val="2C5C33A3"/>
    <w:rsid w:val="2CE455E0"/>
    <w:rsid w:val="2CF73A01"/>
    <w:rsid w:val="2E1524DD"/>
    <w:rsid w:val="301B0ADB"/>
    <w:rsid w:val="307146A2"/>
    <w:rsid w:val="308B2942"/>
    <w:rsid w:val="32285F6F"/>
    <w:rsid w:val="3266677F"/>
    <w:rsid w:val="32ED521C"/>
    <w:rsid w:val="33182487"/>
    <w:rsid w:val="348F6779"/>
    <w:rsid w:val="36061271"/>
    <w:rsid w:val="360D3DFA"/>
    <w:rsid w:val="377939F2"/>
    <w:rsid w:val="38AA5930"/>
    <w:rsid w:val="390C6A38"/>
    <w:rsid w:val="392626C6"/>
    <w:rsid w:val="3943735F"/>
    <w:rsid w:val="39965260"/>
    <w:rsid w:val="3A4D0C68"/>
    <w:rsid w:val="3B003F2D"/>
    <w:rsid w:val="3EA347C1"/>
    <w:rsid w:val="3EDD5BC4"/>
    <w:rsid w:val="40384169"/>
    <w:rsid w:val="40A4322C"/>
    <w:rsid w:val="40B04500"/>
    <w:rsid w:val="40CA3013"/>
    <w:rsid w:val="42424E2B"/>
    <w:rsid w:val="427B5168"/>
    <w:rsid w:val="42870A90"/>
    <w:rsid w:val="42C13A9F"/>
    <w:rsid w:val="43076514"/>
    <w:rsid w:val="43783852"/>
    <w:rsid w:val="444F1F4F"/>
    <w:rsid w:val="447F7AC2"/>
    <w:rsid w:val="44A1236F"/>
    <w:rsid w:val="44F22F67"/>
    <w:rsid w:val="456B4496"/>
    <w:rsid w:val="493F377B"/>
    <w:rsid w:val="49AA1C33"/>
    <w:rsid w:val="4C9F589F"/>
    <w:rsid w:val="4D1E40A2"/>
    <w:rsid w:val="4DD04FF2"/>
    <w:rsid w:val="4DE01544"/>
    <w:rsid w:val="4E824F2D"/>
    <w:rsid w:val="4F6603AB"/>
    <w:rsid w:val="50B74C36"/>
    <w:rsid w:val="51D27F79"/>
    <w:rsid w:val="52F77B3F"/>
    <w:rsid w:val="535C7E63"/>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EBA601D"/>
    <w:rsid w:val="5F4B3119"/>
    <w:rsid w:val="5FE86BBA"/>
    <w:rsid w:val="61C0584D"/>
    <w:rsid w:val="625B3673"/>
    <w:rsid w:val="62AE5E99"/>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A326F58"/>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ind w:left="600" w:leftChars="600"/>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9"/>
    <w:rPr>
      <w:rFonts w:ascii="Times New Roman" w:hAnsi="Times New Roman" w:cs="Times New Roman"/>
      <w:kern w:val="0"/>
      <w:sz w:val="24"/>
      <w:szCs w:val="24"/>
    </w:rPr>
  </w:style>
  <w:style w:type="character" w:customStyle="1" w:styleId="26">
    <w:name w:val="标题 2 Char"/>
    <w:link w:val="3"/>
    <w:qFormat/>
    <w:uiPriority w:val="99"/>
    <w:rPr>
      <w:rFonts w:ascii="Times New Roman" w:hAnsi="Times New Roman" w:cs="Times New Roman"/>
      <w:kern w:val="0"/>
      <w:sz w:val="24"/>
      <w:szCs w:val="24"/>
    </w:rPr>
  </w:style>
  <w:style w:type="character" w:customStyle="1" w:styleId="27">
    <w:name w:val="标题 3 Char"/>
    <w:link w:val="4"/>
    <w:qFormat/>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9638-FBE7-49FC-A2B1-DC43DB5F97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18986</Words>
  <Characters>20181</Characters>
  <Lines>174</Lines>
  <Paragraphs>49</Paragraphs>
  <TotalTime>3</TotalTime>
  <ScaleCrop>false</ScaleCrop>
  <LinksUpToDate>false</LinksUpToDate>
  <CharactersWithSpaces>23113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2024-07-18T06:55:43Z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